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64" w:rsidRPr="003F10F1" w:rsidRDefault="00AB3664" w:rsidP="00AB3664">
      <w:pPr>
        <w:snapToGrid w:val="0"/>
        <w:spacing w:before="480" w:after="240"/>
        <w:ind w:left="-720" w:right="-720"/>
        <w:rPr>
          <w:b/>
          <w:noProof/>
          <w:color w:val="831F26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B3664" w:rsidRPr="001271F0" w:rsidRDefault="000D42E2" w:rsidP="001271F0">
      <w:pPr>
        <w:snapToGrid w:val="0"/>
        <w:spacing w:before="480" w:after="240"/>
        <w:ind w:left="-720" w:right="-720"/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7D27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Vorbereitung zur Zulassung zur </w:t>
      </w:r>
      <w:r w:rsidR="001271F0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Pr="00697D27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Wechselprüfung IV </w:t>
      </w:r>
      <w:r w:rsidR="001271F0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</w:t>
      </w:r>
      <w:r w:rsidRPr="00697D27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(Lehramt an Förderschulen</w:t>
      </w:r>
      <w:r w:rsidR="001271F0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AB3664" w:rsidRPr="00697D27" w:rsidRDefault="00B150A1" w:rsidP="00AB3664">
      <w:pPr>
        <w:snapToGrid w:val="0"/>
        <w:spacing w:before="480" w:after="240"/>
        <w:ind w:left="-720" w:right="-720"/>
        <w:rPr>
          <w:b/>
          <w:noProof/>
          <w:color w:val="831F26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7D27">
        <w:rPr>
          <w:b/>
          <w:noProof/>
          <w:color w:val="831F26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INFORMATIONEN </w:t>
      </w:r>
    </w:p>
    <w:p w:rsidR="007D64BA" w:rsidRPr="00697D27" w:rsidRDefault="000D42E2" w:rsidP="00AB3664">
      <w:pPr>
        <w:snapToGrid w:val="0"/>
        <w:spacing w:before="480" w:after="240"/>
        <w:ind w:left="-720" w:right="-720"/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7D27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Teilnahme an fachdidaktischen und berufspraktischen Seminaren der </w:t>
      </w:r>
      <w:r w:rsidR="001271F0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Pr="00697D27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Staatlichen Studienseminare für </w:t>
      </w:r>
      <w:r w:rsidR="001271F0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</w:t>
      </w:r>
      <w:r w:rsidRPr="00697D27">
        <w:rPr>
          <w:noProof/>
          <w:color w:val="831F2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das Lehramt an Förderschulen </w:t>
      </w:r>
    </w:p>
    <w:p w:rsidR="007D64BA" w:rsidRPr="00AB3664" w:rsidRDefault="007D64BA" w:rsidP="007D64BA">
      <w:pPr>
        <w:snapToGrid w:val="0"/>
        <w:spacing w:after="240"/>
        <w:ind w:left="-720" w:right="-720"/>
        <w:jc w:val="center"/>
        <w:rPr>
          <w:b/>
          <w:bCs/>
          <w:color w:val="831F26"/>
        </w:rPr>
      </w:pPr>
    </w:p>
    <w:p w:rsidR="007D64BA" w:rsidRPr="00AB3664" w:rsidRDefault="007D64BA" w:rsidP="007D64BA">
      <w:pPr>
        <w:snapToGrid w:val="0"/>
        <w:rPr>
          <w:color w:val="831F26"/>
        </w:rPr>
      </w:pPr>
    </w:p>
    <w:p w:rsidR="007D64BA" w:rsidRPr="00AB3664" w:rsidRDefault="007D64BA" w:rsidP="007D64BA">
      <w:pPr>
        <w:rPr>
          <w:color w:val="831F26"/>
        </w:rPr>
      </w:pPr>
    </w:p>
    <w:p w:rsidR="00637BD4" w:rsidRDefault="007D64BA" w:rsidP="00AB3664">
      <w:pPr>
        <w:jc w:val="both"/>
      </w:pPr>
      <w:r>
        <w:br w:type="page"/>
      </w:r>
      <w:r w:rsidR="00637BD4">
        <w:lastRenderedPageBreak/>
        <w:t xml:space="preserve">Sehr geehrte Damen und Herren, </w:t>
      </w:r>
    </w:p>
    <w:p w:rsidR="00637BD4" w:rsidRDefault="00637BD4" w:rsidP="00542BB5">
      <w:pPr>
        <w:jc w:val="both"/>
      </w:pPr>
    </w:p>
    <w:p w:rsidR="00967F93" w:rsidRDefault="00637BD4" w:rsidP="00542BB5">
      <w:pPr>
        <w:jc w:val="both"/>
      </w:pPr>
      <w:r>
        <w:t xml:space="preserve">Sie beabsichtigen, die Wechselprüfung IV für den Erwerb der Lehrbefähigung für das Lehramt an Förderschulen abzulegen. Im Rahmen dieser Prüfung sollen die Kompetenzen in </w:t>
      </w:r>
      <w:r w:rsidR="00967F93">
        <w:t xml:space="preserve">den aufgeführten Bereichen festgestellt werden: </w:t>
      </w:r>
    </w:p>
    <w:p w:rsidR="00AB3664" w:rsidRDefault="00AB3664" w:rsidP="00542BB5">
      <w:pPr>
        <w:jc w:val="both"/>
      </w:pPr>
    </w:p>
    <w:p w:rsidR="00967F93" w:rsidRDefault="00637BD4" w:rsidP="00542BB5">
      <w:pPr>
        <w:numPr>
          <w:ilvl w:val="0"/>
          <w:numId w:val="12"/>
        </w:numPr>
        <w:jc w:val="both"/>
      </w:pPr>
      <w:r>
        <w:t>Unterricht</w:t>
      </w:r>
      <w:r w:rsidR="00967F93">
        <w:t xml:space="preserve"> in den </w:t>
      </w:r>
      <w:r>
        <w:t>beiden von Ihnen gewählten Schwerpunkte</w:t>
      </w:r>
      <w:r w:rsidR="00967F93">
        <w:t>n</w:t>
      </w:r>
      <w:r>
        <w:t xml:space="preserve"> sonderpädagogischer Förderung </w:t>
      </w:r>
      <w:r w:rsidR="00967F93">
        <w:t xml:space="preserve">inklusive </w:t>
      </w:r>
      <w:r>
        <w:t>deren Didaktik</w:t>
      </w:r>
      <w:r w:rsidR="00134E21">
        <w:t xml:space="preserve"> </w:t>
      </w:r>
      <w:r>
        <w:t>und Methodik</w:t>
      </w:r>
    </w:p>
    <w:p w:rsidR="00967F93" w:rsidRDefault="00967F93" w:rsidP="00542BB5">
      <w:pPr>
        <w:numPr>
          <w:ilvl w:val="0"/>
          <w:numId w:val="12"/>
        </w:numPr>
        <w:jc w:val="both"/>
      </w:pPr>
      <w:r>
        <w:t>die</w:t>
      </w:r>
      <w:r w:rsidR="00637BD4">
        <w:t xml:space="preserve"> Durchführung von besonderen Fördermaßnahmen</w:t>
      </w:r>
    </w:p>
    <w:p w:rsidR="00967F93" w:rsidRDefault="00967F93" w:rsidP="00542BB5">
      <w:pPr>
        <w:numPr>
          <w:ilvl w:val="0"/>
          <w:numId w:val="12"/>
        </w:numPr>
        <w:jc w:val="both"/>
      </w:pPr>
      <w:r>
        <w:t>die p</w:t>
      </w:r>
      <w:r w:rsidR="00637BD4">
        <w:t>raktische Umsetzung bildungswissenschaftlicher Aspekte</w:t>
      </w:r>
    </w:p>
    <w:p w:rsidR="00637BD4" w:rsidRDefault="00637BD4" w:rsidP="00542BB5">
      <w:pPr>
        <w:numPr>
          <w:ilvl w:val="0"/>
          <w:numId w:val="12"/>
        </w:numPr>
        <w:jc w:val="both"/>
      </w:pPr>
      <w:r>
        <w:t>Schul</w:t>
      </w:r>
      <w:r w:rsidR="00967F93">
        <w:t>recht</w:t>
      </w:r>
      <w:r>
        <w:t xml:space="preserve">. </w:t>
      </w:r>
    </w:p>
    <w:p w:rsidR="00637BD4" w:rsidRDefault="00637BD4" w:rsidP="00542BB5">
      <w:pPr>
        <w:jc w:val="both"/>
      </w:pPr>
    </w:p>
    <w:p w:rsidR="00637BD4" w:rsidRPr="00B80148" w:rsidRDefault="006E4E01" w:rsidP="00542BB5">
      <w:pPr>
        <w:jc w:val="both"/>
      </w:pPr>
      <w:r>
        <w:t>Gem. § 35 Abs. 3 Landesverord</w:t>
      </w:r>
      <w:r w:rsidRPr="006E4E01">
        <w:t>nung über die Landesverordnung über die Prüfungen von Lehrkräften zum Wechsel des Laufbahnzweiges (Lehrkräfte-Wechselprüfungs</w:t>
      </w:r>
      <w:bookmarkStart w:id="0" w:name="_GoBack"/>
      <w:bookmarkEnd w:id="0"/>
      <w:r w:rsidRPr="006E4E01">
        <w:t xml:space="preserve">verordnung) vom 29. April 2014 (GVBl. S. 52), </w:t>
      </w:r>
      <w:r w:rsidR="003B3627" w:rsidRPr="003B3627">
        <w:t>zuletzt geändert durch Verordnung vom 22. Juni</w:t>
      </w:r>
      <w:r w:rsidR="003B3627">
        <w:t xml:space="preserve"> </w:t>
      </w:r>
      <w:r w:rsidR="003B3627" w:rsidRPr="003B3627">
        <w:t>2018 (GVBl. S. 184)</w:t>
      </w:r>
      <w:r w:rsidR="003B3627">
        <w:t xml:space="preserve"> </w:t>
      </w:r>
      <w:r w:rsidR="00637BD4" w:rsidRPr="00B80148">
        <w:t xml:space="preserve">gilt: </w:t>
      </w:r>
    </w:p>
    <w:p w:rsidR="00637BD4" w:rsidRPr="00B80148" w:rsidRDefault="00637BD4" w:rsidP="00542BB5">
      <w:pPr>
        <w:jc w:val="both"/>
      </w:pPr>
    </w:p>
    <w:p w:rsidR="00637BD4" w:rsidRPr="00B80148" w:rsidRDefault="00A02C80" w:rsidP="00542BB5">
      <w:pPr>
        <w:contextualSpacing/>
        <w:jc w:val="both"/>
      </w:pPr>
      <w:r>
        <w:t>„</w:t>
      </w:r>
      <w:r w:rsidR="00637BD4" w:rsidRPr="00B80148">
        <w:t>Zur Wechselprüfung IV für das Lehramt an Förderschulen kann zugelassen werden, wer...</w:t>
      </w:r>
    </w:p>
    <w:p w:rsidR="00637BD4" w:rsidRPr="00B80148" w:rsidRDefault="00637BD4" w:rsidP="00542BB5">
      <w:pPr>
        <w:jc w:val="both"/>
      </w:pPr>
    </w:p>
    <w:p w:rsidR="00637BD4" w:rsidRDefault="00B150A1" w:rsidP="00542BB5">
      <w:pPr>
        <w:jc w:val="both"/>
      </w:pPr>
      <w:r>
        <w:t>…</w:t>
      </w:r>
      <w:r w:rsidR="00637BD4" w:rsidRPr="00B80148">
        <w:t xml:space="preserve"> sich durch Teilnahme an Fachdidaktischen und Berufspraktischen Seminaren der Studienseminare, an Lehrveranstaltungen von Hochschulen, an den</w:t>
      </w:r>
      <w:r w:rsidR="00967F93">
        <w:t>, den</w:t>
      </w:r>
      <w:r w:rsidR="00637BD4" w:rsidRPr="00B80148">
        <w:t xml:space="preserve"> Anforderungen entsprechenden Fort- und Weiterbildungsveranstaltungen sowie durch Selbststudium hinreichend auf die We</w:t>
      </w:r>
      <w:r w:rsidR="00637BD4">
        <w:t>chselprüfung IV vorbereitet hat.</w:t>
      </w:r>
      <w:r w:rsidR="00A02C80">
        <w:t>“</w:t>
      </w:r>
      <w:r w:rsidR="00637BD4">
        <w:t xml:space="preserve"> </w:t>
      </w:r>
    </w:p>
    <w:p w:rsidR="00637BD4" w:rsidRDefault="00637BD4" w:rsidP="00542BB5">
      <w:pPr>
        <w:jc w:val="both"/>
      </w:pPr>
    </w:p>
    <w:p w:rsidR="00637BD4" w:rsidRDefault="00637BD4" w:rsidP="00542BB5">
      <w:pPr>
        <w:jc w:val="both"/>
      </w:pPr>
      <w:r>
        <w:t>Die Vorbereitung erfolgt somit auf mehreren Ebenen</w:t>
      </w:r>
      <w:r w:rsidR="00697D27">
        <w:rPr>
          <w:rStyle w:val="Funotenzeichen"/>
        </w:rPr>
        <w:footnoteReference w:id="1"/>
      </w:r>
      <w:r>
        <w:t xml:space="preserve">: </w:t>
      </w:r>
    </w:p>
    <w:p w:rsidR="00AE34A1" w:rsidRDefault="00AE34A1" w:rsidP="00542BB5">
      <w:pPr>
        <w:jc w:val="both"/>
      </w:pPr>
    </w:p>
    <w:p w:rsidR="00637BD4" w:rsidRDefault="00637BD4" w:rsidP="00F30A0D">
      <w:pPr>
        <w:pStyle w:val="Listenabsatz"/>
        <w:numPr>
          <w:ilvl w:val="0"/>
          <w:numId w:val="10"/>
        </w:numPr>
        <w:jc w:val="both"/>
      </w:pPr>
      <w:r>
        <w:t>Erwerb der erforderlichen fachwissenschaftlichen Kenntnisse in den Grundlagen sonderpädagogischer Förderung und den beiden gewählten Schwerpunkten sonderpädagogischer Förderung</w:t>
      </w:r>
    </w:p>
    <w:p w:rsidR="00637BD4" w:rsidRDefault="00637BD4" w:rsidP="00F30A0D">
      <w:pPr>
        <w:numPr>
          <w:ilvl w:val="0"/>
          <w:numId w:val="10"/>
        </w:numPr>
        <w:jc w:val="both"/>
      </w:pPr>
      <w:r>
        <w:t xml:space="preserve">didaktische und methodische Fragestellungen und ausgewählte Inhalte des Unterrichts als Förderschullehrkraft </w:t>
      </w:r>
    </w:p>
    <w:p w:rsidR="00637BD4" w:rsidRDefault="00637BD4" w:rsidP="00F30A0D">
      <w:pPr>
        <w:numPr>
          <w:ilvl w:val="0"/>
          <w:numId w:val="10"/>
        </w:numPr>
        <w:jc w:val="both"/>
      </w:pPr>
      <w:r>
        <w:t>als Zusatzangebot</w:t>
      </w:r>
      <w:r w:rsidR="00697D27">
        <w:t xml:space="preserve"> für Personen, die als Förderschullehrkraft tätig sind</w:t>
      </w:r>
      <w:r>
        <w:t xml:space="preserve">: persönliche Beratung zur Optimierung der eigenen Unterrichtsgestaltung in den beiden gewählten Förderschwerpunkten. </w:t>
      </w:r>
    </w:p>
    <w:p w:rsidR="00637BD4" w:rsidRDefault="00637BD4" w:rsidP="00542BB5">
      <w:pPr>
        <w:ind w:left="567" w:hanging="207"/>
        <w:jc w:val="both"/>
      </w:pPr>
    </w:p>
    <w:p w:rsidR="00B150A1" w:rsidRDefault="00637BD4" w:rsidP="00542BB5">
      <w:pPr>
        <w:jc w:val="both"/>
      </w:pPr>
      <w:r>
        <w:lastRenderedPageBreak/>
        <w:t>Zu 1. Hier erfolgt die Vorbereitung i.d.R. durch Selbststudium der fachwissenschaftlichen Grundlagenliteratur. Die Staatlichen Studienseminare für das Lehramt an Förderschulen beraten Sie hierzu gerne; weiterführende Informationen können auch den Homepages der Studienseminare entnommen werden</w:t>
      </w:r>
      <w:r w:rsidR="00B150A1">
        <w:t>:</w:t>
      </w:r>
    </w:p>
    <w:p w:rsidR="00B150A1" w:rsidRDefault="009643EB" w:rsidP="00542BB5">
      <w:pPr>
        <w:jc w:val="both"/>
      </w:pPr>
      <w:hyperlink r:id="rId8" w:history="1">
        <w:r w:rsidR="00B150A1" w:rsidRPr="003F2588">
          <w:rPr>
            <w:rStyle w:val="Hyperlink"/>
          </w:rPr>
          <w:t>http://studienseminar.rlp.de/foesch/kaiserslautern.html</w:t>
        </w:r>
      </w:hyperlink>
      <w:r w:rsidR="00B150A1">
        <w:t xml:space="preserve"> </w:t>
      </w:r>
      <w:hyperlink r:id="rId9" w:history="1">
        <w:r w:rsidR="00637BD4" w:rsidRPr="00F82927">
          <w:rPr>
            <w:rStyle w:val="Hyperlink"/>
          </w:rPr>
          <w:t>http://studienseminar.rlp.de/foesch/neuwied.html</w:t>
        </w:r>
      </w:hyperlink>
      <w:r w:rsidR="00637BD4">
        <w:t xml:space="preserve">. </w:t>
      </w:r>
    </w:p>
    <w:p w:rsidR="00637BD4" w:rsidRDefault="00AE34A1" w:rsidP="00542BB5">
      <w:pPr>
        <w:jc w:val="both"/>
        <w:rPr>
          <w:i/>
        </w:rPr>
      </w:pPr>
      <w:r>
        <w:t>Auch g</w:t>
      </w:r>
      <w:r w:rsidR="00637BD4">
        <w:t xml:space="preserve">eeignete Lehrveranstaltungen der Hochschulen sowie Fort- und Weiterbildungsangebote z.B. des Pädagogischen Landesinstitutes können die hier benötigten Kenntnisse vermitteln. </w:t>
      </w:r>
    </w:p>
    <w:p w:rsidR="00637BD4" w:rsidRDefault="00637BD4" w:rsidP="00542BB5">
      <w:pPr>
        <w:jc w:val="both"/>
      </w:pPr>
    </w:p>
    <w:p w:rsidR="00637BD4" w:rsidRDefault="00637BD4" w:rsidP="00542BB5">
      <w:pPr>
        <w:jc w:val="both"/>
      </w:pPr>
      <w:r>
        <w:t xml:space="preserve">Zu 2: </w:t>
      </w:r>
    </w:p>
    <w:p w:rsidR="00637BD4" w:rsidRDefault="00B150A1" w:rsidP="00542BB5">
      <w:pPr>
        <w:jc w:val="both"/>
      </w:pPr>
      <w:r>
        <w:t>Um eine</w:t>
      </w:r>
      <w:r w:rsidR="00637BD4">
        <w:t xml:space="preserve"> hinreichende Prüfungsvorbereitung </w:t>
      </w:r>
      <w:r>
        <w:t>zu gewährleisten und Sie auf</w:t>
      </w:r>
      <w:r w:rsidR="00637BD4">
        <w:t xml:space="preserve"> </w:t>
      </w:r>
      <w:r>
        <w:t>Ihre</w:t>
      </w:r>
      <w:r w:rsidR="00637BD4">
        <w:t xml:space="preserve"> spätere </w:t>
      </w:r>
      <w:r w:rsidR="00637BD4">
        <w:rPr>
          <w:i/>
        </w:rPr>
        <w:t xml:space="preserve">erfolgreiche </w:t>
      </w:r>
      <w:r w:rsidR="00637BD4">
        <w:t>Tätigkeit als Förderschullehrkraft</w:t>
      </w:r>
      <w:r>
        <w:t xml:space="preserve"> vorzubereiten</w:t>
      </w:r>
      <w:r w:rsidR="00637BD4">
        <w:t xml:space="preserve"> haben die </w:t>
      </w:r>
      <w:r w:rsidR="00697D27">
        <w:t xml:space="preserve">Staatlichen </w:t>
      </w:r>
      <w:r w:rsidR="00637BD4">
        <w:t xml:space="preserve">Studienseminare für das Lehramt an Förderschulen </w:t>
      </w:r>
      <w:r w:rsidR="00697D27">
        <w:t xml:space="preserve">auf den nächsten Seiten die grundlegenden sonderpädagogischen Qualifikationen und Kompetenzen zusammengestellt. </w:t>
      </w:r>
      <w:r w:rsidR="00637BD4">
        <w:t xml:space="preserve"> </w:t>
      </w:r>
    </w:p>
    <w:p w:rsidR="00637BD4" w:rsidRDefault="00637BD4" w:rsidP="00542BB5">
      <w:pPr>
        <w:jc w:val="both"/>
      </w:pPr>
    </w:p>
    <w:p w:rsidR="00637BD4" w:rsidRDefault="00637BD4" w:rsidP="00542BB5">
      <w:pPr>
        <w:contextualSpacing/>
        <w:jc w:val="both"/>
      </w:pPr>
      <w:r>
        <w:t xml:space="preserve">Für </w:t>
      </w:r>
      <w:r w:rsidR="00697D27">
        <w:t xml:space="preserve">die hinreichende Prüfungsvorbereitung wird </w:t>
      </w:r>
      <w:r>
        <w:t xml:space="preserve">die </w:t>
      </w:r>
      <w:r w:rsidRPr="00B80148">
        <w:t xml:space="preserve">Teilnahme an mindestens </w:t>
      </w:r>
      <w:r>
        <w:t xml:space="preserve">sechs </w:t>
      </w:r>
      <w:r w:rsidRPr="00B80148">
        <w:t>Seminarveranstaltungen</w:t>
      </w:r>
      <w:r>
        <w:t xml:space="preserve"> je</w:t>
      </w:r>
      <w:r w:rsidRPr="00B80148">
        <w:t xml:space="preserve"> </w:t>
      </w:r>
      <w:r>
        <w:t>gewähltem Förderschwerpunkt sowie an</w:t>
      </w:r>
      <w:r w:rsidRPr="00B80148">
        <w:t xml:space="preserve"> </w:t>
      </w:r>
      <w:r w:rsidR="00F30A0D">
        <w:t xml:space="preserve">mindestens </w:t>
      </w:r>
      <w:r w:rsidRPr="00B80148">
        <w:t xml:space="preserve">zwei Berufspraktischen Seminaren </w:t>
      </w:r>
      <w:r>
        <w:t>(</w:t>
      </w:r>
      <w:r w:rsidRPr="00B80148">
        <w:t>Mindestdauer jeweils 90 Minuten</w:t>
      </w:r>
      <w:r>
        <w:t xml:space="preserve">) </w:t>
      </w:r>
      <w:r w:rsidR="00697D27">
        <w:t>als erforderlich angesehen</w:t>
      </w:r>
      <w:r>
        <w:t xml:space="preserve">. Das Studienseminar informiert Sie, welche der angebotenen Seminarveranstaltungen für </w:t>
      </w:r>
      <w:r w:rsidR="00697D27">
        <w:t xml:space="preserve">die Prüfungsvorbereitung zur Wechselprüfung IV </w:t>
      </w:r>
      <w:r>
        <w:t>geeignet sind.</w:t>
      </w:r>
      <w:r w:rsidRPr="00BC05D3">
        <w:t xml:space="preserve"> </w:t>
      </w:r>
      <w:r>
        <w:t xml:space="preserve">Eine Teilnahme an weiteren Seminarveranstaltungen ist möglich. </w:t>
      </w:r>
    </w:p>
    <w:p w:rsidR="001271F0" w:rsidRDefault="001271F0" w:rsidP="001271F0">
      <w:pPr>
        <w:contextualSpacing/>
        <w:jc w:val="both"/>
      </w:pPr>
      <w:r>
        <w:t>Personen, die derzeit nicht an einer Förderschule tätig sind, wird empfohlen, darüber hinaus insbesondere an Unterrichts</w:t>
      </w:r>
      <w:r w:rsidR="00804F64">
        <w:t>hospitation</w:t>
      </w:r>
      <w:r>
        <w:t>en und Unterrichtsbesprechungen teilzunehmen, um die Kenntnisse in Didaktik und Methodik des Unterrichts in den gewählten Schwerpunkten sonderpädagogischer Förderung zu vertiefen.</w:t>
      </w:r>
    </w:p>
    <w:p w:rsidR="00637BD4" w:rsidRDefault="00637BD4" w:rsidP="00542BB5">
      <w:pPr>
        <w:contextualSpacing/>
        <w:jc w:val="both"/>
      </w:pPr>
    </w:p>
    <w:p w:rsidR="00637BD4" w:rsidRDefault="00637BD4" w:rsidP="00542BB5">
      <w:pPr>
        <w:contextualSpacing/>
        <w:jc w:val="both"/>
      </w:pPr>
      <w:r>
        <w:t xml:space="preserve">Der Nachweis über die beim Staatlichen Studienseminar für das Lehramt an Förderschulen absolvierten Seminare ist dem Antrag auf Zulassung zur Wechselprüfung </w:t>
      </w:r>
      <w:r w:rsidR="00697D27">
        <w:t xml:space="preserve">IV </w:t>
      </w:r>
      <w:r>
        <w:t xml:space="preserve">beizufügen. </w:t>
      </w:r>
    </w:p>
    <w:p w:rsidR="00637BD4" w:rsidRDefault="00637BD4" w:rsidP="00542BB5">
      <w:pPr>
        <w:jc w:val="both"/>
      </w:pPr>
    </w:p>
    <w:p w:rsidR="00637BD4" w:rsidRDefault="00637BD4" w:rsidP="00542BB5">
      <w:pPr>
        <w:jc w:val="both"/>
      </w:pPr>
      <w:r>
        <w:t xml:space="preserve">Zu 3: </w:t>
      </w:r>
    </w:p>
    <w:p w:rsidR="00637BD4" w:rsidRDefault="00697D27" w:rsidP="00542BB5">
      <w:pPr>
        <w:jc w:val="both"/>
      </w:pPr>
      <w:r>
        <w:t xml:space="preserve">Zusatzangebot für Personen, die als Förderschullehrkraft tätig sind: </w:t>
      </w:r>
      <w:r w:rsidR="00637BD4">
        <w:t xml:space="preserve">In der Zeit bis zur Abgabe der Hausarbeit </w:t>
      </w:r>
      <w:r>
        <w:t xml:space="preserve">können in Absprache mit den Fachleiterinnen oder den Fachleitern </w:t>
      </w:r>
      <w:r w:rsidR="00637BD4">
        <w:t>zwei</w:t>
      </w:r>
      <w:r w:rsidR="00637BD4" w:rsidRPr="00B80148">
        <w:t xml:space="preserve"> Unterrichtsbesuche je Förderschwerpunkt </w:t>
      </w:r>
      <w:r w:rsidR="00C50DA1">
        <w:t xml:space="preserve">stattfinden; diese sind </w:t>
      </w:r>
      <w:r w:rsidR="00C50DA1">
        <w:rPr>
          <w:u w:val="single"/>
        </w:rPr>
        <w:t xml:space="preserve">KEIN </w:t>
      </w:r>
      <w:r w:rsidR="00FD162A">
        <w:t xml:space="preserve">verpflichtender </w:t>
      </w:r>
      <w:r w:rsidR="00C50DA1">
        <w:t>Bestandteil der Wechselprüfung IV</w:t>
      </w:r>
      <w:r w:rsidR="00FD162A">
        <w:t>, werden aber dringend empfohlen</w:t>
      </w:r>
      <w:r w:rsidR="00C50DA1">
        <w:t>.</w:t>
      </w:r>
      <w:r w:rsidR="00637BD4">
        <w:t xml:space="preserve"> Ziel dieser Unterrichtsbesuche ist, Ihnen Klarheit über Ihre Kompetenzen in der Unterrichtspraxis als Förderschullehrkraft zu geben. </w:t>
      </w:r>
    </w:p>
    <w:p w:rsidR="00637BD4" w:rsidRDefault="00637BD4" w:rsidP="00542BB5">
      <w:pPr>
        <w:jc w:val="both"/>
      </w:pPr>
    </w:p>
    <w:p w:rsidR="00637BD4" w:rsidRPr="00B80148" w:rsidRDefault="00637BD4" w:rsidP="00542BB5">
      <w:pPr>
        <w:jc w:val="both"/>
      </w:pPr>
      <w:r>
        <w:t xml:space="preserve">Für diese Unterrichtsbesuche sind </w:t>
      </w:r>
      <w:r w:rsidRPr="00B80148">
        <w:t>Langplanung</w:t>
      </w:r>
      <w:r>
        <w:t>en der Unterrichtsstunde</w:t>
      </w:r>
      <w:r w:rsidRPr="00B80148">
        <w:t xml:space="preserve"> </w:t>
      </w:r>
      <w:r>
        <w:t xml:space="preserve">vorzubereiten sowie die </w:t>
      </w:r>
      <w:r w:rsidRPr="00B80148">
        <w:t>Kurzplanung der Unterrichtseinheit und des Förderplanes für die Schülerin</w:t>
      </w:r>
      <w:r>
        <w:t xml:space="preserve">nen und Schüler mit vorzulegen.  </w:t>
      </w:r>
    </w:p>
    <w:p w:rsidR="00637BD4" w:rsidRDefault="00637BD4" w:rsidP="00542BB5">
      <w:pPr>
        <w:contextualSpacing/>
        <w:jc w:val="both"/>
      </w:pPr>
    </w:p>
    <w:p w:rsidR="00637BD4" w:rsidRDefault="00A43FD6" w:rsidP="00542BB5">
      <w:pPr>
        <w:contextualSpacing/>
        <w:jc w:val="both"/>
      </w:pPr>
      <w:r>
        <w:rPr>
          <w:b/>
        </w:rPr>
        <w:t>Organisatorische Hinweise:</w:t>
      </w:r>
    </w:p>
    <w:p w:rsidR="00A43FD6" w:rsidRDefault="00A43FD6" w:rsidP="00F30A0D">
      <w:pPr>
        <w:pStyle w:val="Listenabsatz"/>
        <w:numPr>
          <w:ilvl w:val="0"/>
          <w:numId w:val="14"/>
        </w:numPr>
        <w:rPr>
          <w:rStyle w:val="Hyperlink"/>
        </w:rPr>
      </w:pPr>
      <w:r>
        <w:lastRenderedPageBreak/>
        <w:t xml:space="preserve">Bitte setzen Sie sich frühzeitig mit dem regional für Sie zuständigen Studienseminar wegen Vorbereitung zur Wechselprüfung IV in Verbindung: </w:t>
      </w:r>
      <w:r w:rsidR="00804F64">
        <w:br/>
      </w:r>
      <w:r>
        <w:t xml:space="preserve">Zuständig ist: </w:t>
      </w:r>
      <w:r w:rsidR="00B42EB2">
        <w:br/>
      </w:r>
      <w:r w:rsidRPr="00804F64">
        <w:rPr>
          <w:rStyle w:val="Hyperlink"/>
          <w:color w:val="000000" w:themeColor="text1"/>
        </w:rPr>
        <w:t xml:space="preserve">- Für den </w:t>
      </w:r>
      <w:r w:rsidR="00F30A0D" w:rsidRPr="00804F64">
        <w:rPr>
          <w:rStyle w:val="Hyperlink"/>
          <w:color w:val="000000" w:themeColor="text1"/>
        </w:rPr>
        <w:t>nördlichen T</w:t>
      </w:r>
      <w:r w:rsidRPr="00804F64">
        <w:rPr>
          <w:rStyle w:val="Hyperlink"/>
          <w:color w:val="000000" w:themeColor="text1"/>
        </w:rPr>
        <w:t xml:space="preserve">eil von Rheinland-Pfalz: </w:t>
      </w:r>
      <w:r w:rsidRPr="00804F64">
        <w:rPr>
          <w:rStyle w:val="Hyperlink"/>
          <w:color w:val="000000" w:themeColor="text1"/>
        </w:rPr>
        <w:br/>
      </w:r>
      <w:r w:rsidRPr="00862701">
        <w:t>Staatliches Studienseminar für das Lehramt an Förderschulen</w:t>
      </w:r>
      <w:r w:rsidRPr="00862701">
        <w:br/>
        <w:t>Am Weiser Bach 3</w:t>
      </w:r>
      <w:r w:rsidRPr="00862701">
        <w:br/>
        <w:t>56566 Neuwied</w:t>
      </w:r>
      <w:r w:rsidRPr="00CD63E6">
        <w:t xml:space="preserve"> </w:t>
      </w:r>
      <w:r w:rsidRPr="00CD63E6">
        <w:br/>
      </w:r>
      <w:r w:rsidRPr="00804F64">
        <w:rPr>
          <w:color w:val="000000"/>
        </w:rPr>
        <w:t>Tel.: 02622-972111, E-Mail: foes@studsem-neuwied.de</w:t>
      </w:r>
      <w:r w:rsidRPr="00804F64">
        <w:rPr>
          <w:color w:val="000000"/>
        </w:rPr>
        <w:br/>
        <w:t xml:space="preserve">Internet: </w:t>
      </w:r>
      <w:hyperlink r:id="rId10" w:history="1">
        <w:r w:rsidRPr="00862701">
          <w:rPr>
            <w:rStyle w:val="Hyperlink"/>
          </w:rPr>
          <w:t>http://studienseminar.rlp.de/foesch/neuwied.html</w:t>
        </w:r>
      </w:hyperlink>
      <w:r w:rsidRPr="00862701">
        <w:rPr>
          <w:rStyle w:val="Hyperlink"/>
        </w:rPr>
        <w:br/>
      </w:r>
      <w:r w:rsidRPr="00862701">
        <w:rPr>
          <w:rStyle w:val="Hyperlink"/>
        </w:rPr>
        <w:br/>
      </w:r>
      <w:r w:rsidRPr="00804F64">
        <w:rPr>
          <w:rStyle w:val="Hyperlink"/>
          <w:color w:val="auto"/>
        </w:rPr>
        <w:t xml:space="preserve">- Für den </w:t>
      </w:r>
      <w:r w:rsidR="00F30A0D" w:rsidRPr="00804F64">
        <w:rPr>
          <w:rStyle w:val="Hyperlink"/>
          <w:color w:val="auto"/>
        </w:rPr>
        <w:t>s</w:t>
      </w:r>
      <w:r w:rsidRPr="00804F64">
        <w:rPr>
          <w:rStyle w:val="Hyperlink"/>
          <w:color w:val="auto"/>
        </w:rPr>
        <w:t>üd</w:t>
      </w:r>
      <w:r w:rsidR="00F30A0D" w:rsidRPr="00804F64">
        <w:rPr>
          <w:rStyle w:val="Hyperlink"/>
          <w:color w:val="auto"/>
        </w:rPr>
        <w:t>lichen T</w:t>
      </w:r>
      <w:r w:rsidRPr="00804F64">
        <w:rPr>
          <w:rStyle w:val="Hyperlink"/>
          <w:color w:val="auto"/>
        </w:rPr>
        <w:t xml:space="preserve">eil von Rheinland-Pfalz (Pfalz und Rheinhessen): </w:t>
      </w:r>
      <w:r w:rsidRPr="00862701">
        <w:rPr>
          <w:rStyle w:val="Hyperlink"/>
        </w:rPr>
        <w:br/>
      </w:r>
      <w:r w:rsidRPr="00862701">
        <w:t>Staatliches Studienseminar für das Lehramt an Förderschulen</w:t>
      </w:r>
      <w:r w:rsidRPr="00862701">
        <w:br/>
        <w:t>Pirmasenser Str. 65</w:t>
      </w:r>
      <w:r w:rsidRPr="00862701">
        <w:br/>
        <w:t>67655 Kaiserslautern</w:t>
      </w:r>
      <w:r w:rsidRPr="00804F64">
        <w:rPr>
          <w:color w:val="000000"/>
        </w:rPr>
        <w:t xml:space="preserve"> </w:t>
      </w:r>
      <w:r w:rsidRPr="00804F64">
        <w:rPr>
          <w:color w:val="000000"/>
        </w:rPr>
        <w:br/>
        <w:t xml:space="preserve">Tel.: 0631-696061, E-Mail: </w:t>
      </w:r>
      <w:r w:rsidRPr="00862701">
        <w:t>studsemfoekl@rhrk.uni-kl.de</w:t>
      </w:r>
      <w:r w:rsidRPr="00804F64">
        <w:rPr>
          <w:color w:val="000000"/>
        </w:rPr>
        <w:br/>
        <w:t xml:space="preserve">Internet: </w:t>
      </w:r>
      <w:hyperlink r:id="rId11" w:history="1">
        <w:r w:rsidRPr="00862701">
          <w:rPr>
            <w:rStyle w:val="Hyperlink"/>
          </w:rPr>
          <w:t>http://studienseminar.rlp.de/foesch/kaiserslautern.html</w:t>
        </w:r>
      </w:hyperlink>
      <w:r w:rsidRPr="00862701">
        <w:rPr>
          <w:rStyle w:val="Hyperlink"/>
        </w:rPr>
        <w:t xml:space="preserve"> </w:t>
      </w:r>
    </w:p>
    <w:p w:rsidR="00A43FD6" w:rsidRDefault="00A43FD6" w:rsidP="00542BB5">
      <w:pPr>
        <w:pStyle w:val="Listenabsatz"/>
        <w:jc w:val="both"/>
      </w:pPr>
    </w:p>
    <w:p w:rsidR="00542BB5" w:rsidRDefault="00A43FD6" w:rsidP="00542BB5">
      <w:pPr>
        <w:pStyle w:val="Listenabsatz"/>
        <w:numPr>
          <w:ilvl w:val="0"/>
          <w:numId w:val="14"/>
        </w:numPr>
        <w:jc w:val="both"/>
      </w:pPr>
      <w:r>
        <w:t xml:space="preserve">Nach Festlegung der für die Vorbereitung geeigneten und erforderlichen Seminarveranstaltungen erhalten Sie ein Formblatt, auf dem die Veranstaltungsteilnahme dokumentiert wird. Dieses ist – zusammen mit einer Bestätigung der Seminarleitung über eine hinreichende Vorbereitung – dem Antrag auf Zulassung zur Wechselprüfung IV beizufügen. </w:t>
      </w:r>
    </w:p>
    <w:p w:rsidR="00A43FD6" w:rsidRDefault="00A43FD6" w:rsidP="00542BB5">
      <w:pPr>
        <w:pStyle w:val="Listenabsatz"/>
        <w:jc w:val="both"/>
      </w:pPr>
      <w:r>
        <w:t xml:space="preserve">Eine Teilnahme an weiteren Seminarveranstaltungen ist nach Absprache möglich. </w:t>
      </w:r>
    </w:p>
    <w:p w:rsidR="00A43FD6" w:rsidRDefault="00A43FD6" w:rsidP="00542BB5">
      <w:pPr>
        <w:pStyle w:val="Listenabsatz"/>
        <w:jc w:val="both"/>
      </w:pPr>
    </w:p>
    <w:p w:rsidR="00A43FD6" w:rsidRDefault="00A43FD6" w:rsidP="00542BB5">
      <w:pPr>
        <w:pStyle w:val="Listenabsatz"/>
        <w:numPr>
          <w:ilvl w:val="0"/>
          <w:numId w:val="14"/>
        </w:numPr>
        <w:jc w:val="both"/>
      </w:pPr>
      <w:r>
        <w:t xml:space="preserve">Bitte </w:t>
      </w:r>
      <w:r w:rsidR="00225BCA">
        <w:t>besprechen Sie mit Ihrer Einsatzschule, wie organisatorisch die Teilnahme an Seminarveranstaltungen geregelt werden kann</w:t>
      </w:r>
      <w:r w:rsidR="00134E21">
        <w:t>, da diese nicht auf die von Ihnen zu leistenden Unterrichtsstunden angerechnet wird</w:t>
      </w:r>
    </w:p>
    <w:p w:rsidR="00225BCA" w:rsidRDefault="00225BCA" w:rsidP="00542BB5">
      <w:pPr>
        <w:pStyle w:val="Listenabsatz"/>
        <w:jc w:val="both"/>
      </w:pPr>
    </w:p>
    <w:p w:rsidR="00225BCA" w:rsidRDefault="00225BCA" w:rsidP="00542BB5">
      <w:pPr>
        <w:pStyle w:val="Listenabsatz"/>
        <w:numPr>
          <w:ilvl w:val="0"/>
          <w:numId w:val="14"/>
        </w:numPr>
        <w:jc w:val="both"/>
      </w:pPr>
      <w:r>
        <w:t>Bei Fragen im Zusammenhang mit der Seminarteilnahme sowie de</w:t>
      </w:r>
      <w:r w:rsidR="00134E21">
        <w:t>n</w:t>
      </w:r>
      <w:r>
        <w:t xml:space="preserve"> auf Ihren Wunsch erfolgenden Unterrichtsbesuche</w:t>
      </w:r>
      <w:r w:rsidR="00134E21">
        <w:t>n</w:t>
      </w:r>
      <w:r>
        <w:t xml:space="preserve"> wenden Sie sich bitte an die Ansprechpartnerinnen und Ansprechpartner im zuständigen Studienseminar.</w:t>
      </w:r>
    </w:p>
    <w:p w:rsidR="00225BCA" w:rsidRDefault="00225BCA" w:rsidP="00225BCA">
      <w:pPr>
        <w:pStyle w:val="Listenabsatz"/>
      </w:pPr>
    </w:p>
    <w:p w:rsidR="00225BCA" w:rsidRDefault="00225BCA" w:rsidP="00225BCA"/>
    <w:p w:rsidR="001271F0" w:rsidRPr="001271F0" w:rsidRDefault="001271F0" w:rsidP="001271F0">
      <w:r w:rsidRPr="001271F0">
        <w:t>Wir wünschen Ihnen guten Erfolg</w:t>
      </w:r>
    </w:p>
    <w:p w:rsidR="001271F0" w:rsidRPr="001271F0" w:rsidRDefault="001271F0" w:rsidP="001271F0">
      <w:r w:rsidRPr="001271F0">
        <w:t>Die Staatlichen Studienseminare für das Lehramt an Förderschulen</w:t>
      </w:r>
    </w:p>
    <w:p w:rsidR="00A43FD6" w:rsidRDefault="00A43FD6" w:rsidP="00AB3664">
      <w:pPr>
        <w:jc w:val="both"/>
      </w:pPr>
    </w:p>
    <w:p w:rsidR="00637BD4" w:rsidRDefault="00637BD4" w:rsidP="006D2F18">
      <w:pPr>
        <w:rPr>
          <w:b/>
          <w:szCs w:val="24"/>
        </w:rPr>
        <w:sectPr w:rsidR="00637BD4" w:rsidSect="00637BD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688" w:right="1304" w:bottom="1673" w:left="1418" w:header="720" w:footer="720" w:gutter="0"/>
          <w:pgNumType w:start="1"/>
          <w:cols w:space="720"/>
          <w:titlePg/>
          <w:docGrid w:linePitch="326"/>
        </w:sectPr>
      </w:pPr>
    </w:p>
    <w:p w:rsidR="006D2F18" w:rsidRPr="00637BD4" w:rsidRDefault="00D508CA" w:rsidP="00B9088C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Notwendig</w:t>
      </w:r>
      <w:r w:rsidR="00C50DA1">
        <w:rPr>
          <w:b/>
          <w:i/>
          <w:szCs w:val="24"/>
        </w:rPr>
        <w:t>e</w:t>
      </w:r>
      <w:r w:rsidR="00C50DA1">
        <w:rPr>
          <w:i/>
        </w:rPr>
        <w:t xml:space="preserve"> </w:t>
      </w:r>
      <w:r w:rsidR="00C50DA1" w:rsidRPr="002C3AD5">
        <w:rPr>
          <w:b/>
          <w:i/>
        </w:rPr>
        <w:t>sonderpädagogischen Qualifikationen und Kompetenzen</w:t>
      </w:r>
      <w:r w:rsidR="00C50DA1">
        <w:rPr>
          <w:b/>
          <w:i/>
        </w:rPr>
        <w:t xml:space="preserve"> für die hinreichende Vorbereitung auf die Wechselprüfung IV, die durch die Teilnahme an V</w:t>
      </w:r>
      <w:r w:rsidR="002E6780">
        <w:rPr>
          <w:b/>
          <w:i/>
        </w:rPr>
        <w:t>e</w:t>
      </w:r>
      <w:r w:rsidR="00C50DA1">
        <w:rPr>
          <w:b/>
          <w:i/>
        </w:rPr>
        <w:t>ranstaltungen der Staatlichen Studienseminare für das Lehramt an Förderschulen vermittelt werden</w:t>
      </w:r>
      <w:r w:rsidR="002E6780">
        <w:rPr>
          <w:b/>
          <w:i/>
        </w:rPr>
        <w:t>:</w:t>
      </w:r>
    </w:p>
    <w:p w:rsidR="00D95653" w:rsidRDefault="00D95653" w:rsidP="00F77AD7"/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3742B" w:rsidRPr="006D2F18" w:rsidTr="0063742B">
        <w:tc>
          <w:tcPr>
            <w:tcW w:w="14709" w:type="dxa"/>
          </w:tcPr>
          <w:p w:rsidR="0063742B" w:rsidRPr="006D2F18" w:rsidRDefault="0063742B" w:rsidP="006D2F18">
            <w:pPr>
              <w:jc w:val="center"/>
              <w:rPr>
                <w:b/>
                <w:sz w:val="32"/>
                <w:szCs w:val="32"/>
              </w:rPr>
            </w:pPr>
            <w:r w:rsidRPr="006D2F18">
              <w:rPr>
                <w:b/>
                <w:sz w:val="32"/>
                <w:szCs w:val="32"/>
              </w:rPr>
              <w:t>Modul 4: Unterricht</w:t>
            </w:r>
          </w:p>
        </w:tc>
      </w:tr>
      <w:tr w:rsidR="0063742B" w:rsidRPr="00D95653" w:rsidTr="0063742B">
        <w:tc>
          <w:tcPr>
            <w:tcW w:w="14709" w:type="dxa"/>
          </w:tcPr>
          <w:p w:rsidR="0063742B" w:rsidRPr="00D95653" w:rsidRDefault="0063742B" w:rsidP="00F77AD7">
            <w:pPr>
              <w:rPr>
                <w:b/>
              </w:rPr>
            </w:pPr>
            <w:r>
              <w:rPr>
                <w:b/>
              </w:rPr>
              <w:t>Inhalte (bereits bestehend)</w:t>
            </w:r>
          </w:p>
        </w:tc>
      </w:tr>
      <w:tr w:rsidR="0063742B" w:rsidTr="0063742B">
        <w:tc>
          <w:tcPr>
            <w:tcW w:w="14709" w:type="dxa"/>
          </w:tcPr>
          <w:p w:rsidR="0063742B" w:rsidRPr="00256C02" w:rsidRDefault="0063742B" w:rsidP="00D95653">
            <w:pPr>
              <w:numPr>
                <w:ilvl w:val="0"/>
                <w:numId w:val="3"/>
              </w:numPr>
              <w:contextualSpacing/>
              <w:rPr>
                <w:szCs w:val="24"/>
              </w:rPr>
            </w:pPr>
            <w:r w:rsidRPr="00256C02">
              <w:rPr>
                <w:szCs w:val="24"/>
              </w:rPr>
              <w:t>Gestaltung von Lernumgebungen, gesteuerten und selbstgesteuerten fachlichen, fachübergreifenden und fächerverbindenden Lernens</w:t>
            </w:r>
          </w:p>
          <w:p w:rsidR="0063742B" w:rsidRPr="00256C02" w:rsidRDefault="0063742B" w:rsidP="00D95653">
            <w:pPr>
              <w:numPr>
                <w:ilvl w:val="0"/>
                <w:numId w:val="3"/>
              </w:numPr>
              <w:contextualSpacing/>
              <w:rPr>
                <w:szCs w:val="24"/>
              </w:rPr>
            </w:pPr>
            <w:r w:rsidRPr="00256C02">
              <w:rPr>
                <w:szCs w:val="24"/>
              </w:rPr>
              <w:t>Förderschwerpunktspezifische Formen und Methoden einer zeitgemäßen fachlichen Lehr- und Lernkultur</w:t>
            </w:r>
          </w:p>
          <w:p w:rsidR="0063742B" w:rsidRDefault="0063742B" w:rsidP="003252AB">
            <w:pPr>
              <w:numPr>
                <w:ilvl w:val="0"/>
                <w:numId w:val="3"/>
              </w:numPr>
              <w:contextualSpacing/>
            </w:pPr>
            <w:r w:rsidRPr="00256C02">
              <w:rPr>
                <w:szCs w:val="24"/>
              </w:rPr>
              <w:t>Aufgabenkultur (Gestaltung von förderschwerpunktspezifischen Lern- und Leistungsaufgaben)</w:t>
            </w:r>
          </w:p>
        </w:tc>
      </w:tr>
    </w:tbl>
    <w:p w:rsidR="006E0C9A" w:rsidRDefault="006E0C9A"/>
    <w:tbl>
      <w:tblPr>
        <w:tblStyle w:val="Tabellenraster"/>
        <w:tblW w:w="14639" w:type="dxa"/>
        <w:tblLook w:val="04A0" w:firstRow="1" w:lastRow="0" w:firstColumn="1" w:lastColumn="0" w:noHBand="0" w:noVBand="1"/>
      </w:tblPr>
      <w:tblGrid>
        <w:gridCol w:w="4786"/>
        <w:gridCol w:w="4475"/>
        <w:gridCol w:w="5378"/>
      </w:tblGrid>
      <w:tr w:rsidR="0080102A" w:rsidRPr="00D95653" w:rsidTr="006E0C9A">
        <w:tc>
          <w:tcPr>
            <w:tcW w:w="4786" w:type="dxa"/>
          </w:tcPr>
          <w:p w:rsidR="0080102A" w:rsidRPr="00D95653" w:rsidRDefault="0080102A" w:rsidP="006134B0">
            <w:pPr>
              <w:rPr>
                <w:b/>
              </w:rPr>
            </w:pPr>
            <w:r>
              <w:rPr>
                <w:b/>
              </w:rPr>
              <w:t>Zusätzliche förderschwerpunktspezifische Inhalte</w:t>
            </w:r>
          </w:p>
        </w:tc>
        <w:tc>
          <w:tcPr>
            <w:tcW w:w="4475" w:type="dxa"/>
          </w:tcPr>
          <w:p w:rsidR="0080102A" w:rsidRPr="00D95653" w:rsidRDefault="0080102A" w:rsidP="006134B0">
            <w:pPr>
              <w:rPr>
                <w:b/>
              </w:rPr>
            </w:pPr>
            <w:r>
              <w:rPr>
                <w:b/>
              </w:rPr>
              <w:t>Qualifikationen</w:t>
            </w:r>
          </w:p>
        </w:tc>
        <w:tc>
          <w:tcPr>
            <w:tcW w:w="5378" w:type="dxa"/>
          </w:tcPr>
          <w:p w:rsidR="0080102A" w:rsidRPr="00D95653" w:rsidRDefault="0080102A" w:rsidP="006134B0">
            <w:pPr>
              <w:rPr>
                <w:b/>
              </w:rPr>
            </w:pPr>
            <w:r>
              <w:rPr>
                <w:b/>
              </w:rPr>
              <w:t>Erwartete Kompetenzen</w:t>
            </w:r>
          </w:p>
        </w:tc>
      </w:tr>
      <w:tr w:rsidR="0080102A" w:rsidTr="006E0C9A">
        <w:tc>
          <w:tcPr>
            <w:tcW w:w="4786" w:type="dxa"/>
          </w:tcPr>
          <w:p w:rsidR="0080102A" w:rsidRPr="00D95653" w:rsidRDefault="0080102A" w:rsidP="006E0C9A">
            <w:pPr>
              <w:numPr>
                <w:ilvl w:val="0"/>
                <w:numId w:val="4"/>
              </w:numPr>
              <w:ind w:left="284" w:hanging="207"/>
              <w:contextualSpacing/>
            </w:pPr>
            <w:r w:rsidRPr="00256C02">
              <w:rPr>
                <w:szCs w:val="24"/>
              </w:rPr>
              <w:t>Ursachen und Entstehungsbedingungen für temporäre und längerfristige erschwerte Lernausgangslagen</w:t>
            </w:r>
            <w:r>
              <w:rPr>
                <w:szCs w:val="24"/>
              </w:rPr>
              <w:t xml:space="preserve"> </w:t>
            </w:r>
          </w:p>
          <w:p w:rsidR="0080102A" w:rsidRDefault="0080102A" w:rsidP="006E0C9A">
            <w:pPr>
              <w:numPr>
                <w:ilvl w:val="0"/>
                <w:numId w:val="4"/>
              </w:numPr>
              <w:ind w:left="284" w:hanging="207"/>
              <w:contextualSpacing/>
            </w:pPr>
            <w:r w:rsidRPr="00256C02">
              <w:rPr>
                <w:szCs w:val="24"/>
              </w:rPr>
              <w:t xml:space="preserve">Umgang mit Heterogenität </w:t>
            </w:r>
            <w:r w:rsidRPr="00256C02">
              <w:rPr>
                <w:szCs w:val="24"/>
              </w:rPr>
              <w:br/>
              <w:t>- Heterogene Lerngruppen</w:t>
            </w:r>
            <w:r w:rsidRPr="00256C02">
              <w:rPr>
                <w:szCs w:val="24"/>
              </w:rPr>
              <w:br/>
              <w:t>- Differenzierung und Individualisierung</w:t>
            </w:r>
            <w:r w:rsidRPr="00256C02">
              <w:rPr>
                <w:szCs w:val="24"/>
              </w:rPr>
              <w:br/>
              <w:t>- Aufgabenkultur</w:t>
            </w:r>
            <w:r w:rsidRPr="00256C02">
              <w:rPr>
                <w:szCs w:val="24"/>
              </w:rPr>
              <w:br/>
              <w:t xml:space="preserve">- zieldifferentes Lernen und zielgleiches Lernen  </w:t>
            </w:r>
            <w:r w:rsidRPr="00256C02">
              <w:rPr>
                <w:szCs w:val="24"/>
              </w:rPr>
              <w:br/>
              <w:t>- Kooperative Lern- und Arbeitsformen</w:t>
            </w:r>
            <w:r w:rsidRPr="00256C02">
              <w:rPr>
                <w:szCs w:val="24"/>
              </w:rPr>
              <w:br/>
              <w:t>- Förderung bei Schwierigkeiten im Schriftspracherwerb und mathematischen Aneignungsprozessen</w:t>
            </w:r>
            <w:r w:rsidRPr="00256C02">
              <w:rPr>
                <w:szCs w:val="24"/>
              </w:rPr>
              <w:br/>
              <w:t>- grundlegende basale Lernprozesse</w:t>
            </w:r>
          </w:p>
        </w:tc>
        <w:tc>
          <w:tcPr>
            <w:tcW w:w="4475" w:type="dxa"/>
          </w:tcPr>
          <w:p w:rsidR="0080102A" w:rsidRPr="00256C02" w:rsidRDefault="0080102A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Die Lehrkräfte lernen:</w:t>
            </w:r>
          </w:p>
          <w:p w:rsidR="0080102A" w:rsidRPr="00256C02" w:rsidRDefault="0080102A" w:rsidP="006134B0">
            <w:pPr>
              <w:rPr>
                <w:szCs w:val="24"/>
              </w:rPr>
            </w:pPr>
          </w:p>
          <w:p w:rsidR="0080102A" w:rsidRPr="00256C02" w:rsidRDefault="0080102A" w:rsidP="005662FC">
            <w:pPr>
              <w:numPr>
                <w:ilvl w:val="0"/>
                <w:numId w:val="5"/>
              </w:numPr>
              <w:ind w:left="317" w:hanging="192"/>
              <w:rPr>
                <w:szCs w:val="24"/>
              </w:rPr>
            </w:pPr>
            <w:r w:rsidRPr="00256C02">
              <w:rPr>
                <w:szCs w:val="24"/>
              </w:rPr>
              <w:t xml:space="preserve">Lernprozesse angesichts individueller Förderbedarfe unter herausfordernden Bedingungen zu planen und zu gestalten  </w:t>
            </w:r>
          </w:p>
          <w:p w:rsidR="0080102A" w:rsidRPr="00256C02" w:rsidRDefault="0080102A" w:rsidP="005662FC">
            <w:pPr>
              <w:numPr>
                <w:ilvl w:val="0"/>
                <w:numId w:val="5"/>
              </w:numPr>
              <w:ind w:left="317" w:hanging="192"/>
              <w:rPr>
                <w:szCs w:val="24"/>
              </w:rPr>
            </w:pPr>
            <w:r w:rsidRPr="00256C02">
              <w:rPr>
                <w:szCs w:val="24"/>
              </w:rPr>
              <w:t xml:space="preserve">förderpädagogische unterrichtliche Konzepte ( wie z.B. Lernen am gemeinsamen Gegenstand, kognitive Landkarte, Response </w:t>
            </w:r>
            <w:proofErr w:type="spellStart"/>
            <w:r w:rsidRPr="00256C02">
              <w:rPr>
                <w:szCs w:val="24"/>
              </w:rPr>
              <w:t>to</w:t>
            </w:r>
            <w:proofErr w:type="spellEnd"/>
            <w:r w:rsidRPr="00256C02">
              <w:rPr>
                <w:szCs w:val="24"/>
              </w:rPr>
              <w:t xml:space="preserve"> Intervention Ansatz, fokussierte Förderung) kennen</w:t>
            </w:r>
          </w:p>
          <w:p w:rsidR="0080102A" w:rsidRPr="00256C02" w:rsidRDefault="0080102A" w:rsidP="005662FC">
            <w:pPr>
              <w:numPr>
                <w:ilvl w:val="0"/>
                <w:numId w:val="5"/>
              </w:numPr>
              <w:ind w:left="317" w:hanging="192"/>
              <w:rPr>
                <w:szCs w:val="24"/>
              </w:rPr>
            </w:pPr>
            <w:r w:rsidRPr="00256C02">
              <w:rPr>
                <w:szCs w:val="24"/>
              </w:rPr>
              <w:t>Methoden und Arrangements für differenzierte Förderung einzusetzen</w:t>
            </w:r>
          </w:p>
          <w:p w:rsidR="0080102A" w:rsidRDefault="0080102A" w:rsidP="006E0C9A">
            <w:pPr>
              <w:numPr>
                <w:ilvl w:val="0"/>
                <w:numId w:val="5"/>
              </w:numPr>
              <w:ind w:left="317" w:hanging="192"/>
            </w:pPr>
            <w:r w:rsidRPr="00256C02">
              <w:rPr>
                <w:szCs w:val="24"/>
              </w:rPr>
              <w:t>die Komplexität individuell-spezifisch erforderlicher Fördermaßnahmen als Anforderung zu erkennen und zu leisten</w:t>
            </w:r>
          </w:p>
        </w:tc>
        <w:tc>
          <w:tcPr>
            <w:tcW w:w="5378" w:type="dxa"/>
          </w:tcPr>
          <w:p w:rsidR="0080102A" w:rsidRPr="00256C02" w:rsidRDefault="0080102A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Die Lehrkräfte</w:t>
            </w:r>
          </w:p>
          <w:p w:rsidR="0080102A" w:rsidRPr="00256C02" w:rsidRDefault="0080102A" w:rsidP="005662FC">
            <w:pPr>
              <w:numPr>
                <w:ilvl w:val="0"/>
                <w:numId w:val="5"/>
              </w:numPr>
              <w:ind w:left="378" w:hanging="160"/>
              <w:rPr>
                <w:szCs w:val="24"/>
              </w:rPr>
            </w:pPr>
            <w:r w:rsidRPr="00256C02">
              <w:rPr>
                <w:szCs w:val="24"/>
              </w:rPr>
              <w:t>reflektieren und nehmen die veränderte Rolle der Lehrkraft in inklusiven Lernsettings wahr;</w:t>
            </w:r>
          </w:p>
          <w:p w:rsidR="0080102A" w:rsidRPr="00256C02" w:rsidRDefault="0080102A" w:rsidP="005662FC">
            <w:pPr>
              <w:numPr>
                <w:ilvl w:val="0"/>
                <w:numId w:val="5"/>
              </w:numPr>
              <w:ind w:left="378" w:hanging="160"/>
              <w:rPr>
                <w:szCs w:val="24"/>
              </w:rPr>
            </w:pPr>
            <w:r w:rsidRPr="00256C02">
              <w:rPr>
                <w:szCs w:val="24"/>
              </w:rPr>
              <w:t xml:space="preserve">planen und gestalten lernförderliche Unterrichtssituationen in heterogenen Lerngruppen; </w:t>
            </w:r>
          </w:p>
          <w:p w:rsidR="0080102A" w:rsidRPr="00256C02" w:rsidRDefault="0080102A" w:rsidP="005662FC">
            <w:pPr>
              <w:numPr>
                <w:ilvl w:val="0"/>
                <w:numId w:val="5"/>
              </w:numPr>
              <w:ind w:left="378" w:hanging="160"/>
              <w:rPr>
                <w:szCs w:val="24"/>
              </w:rPr>
            </w:pPr>
            <w:r w:rsidRPr="00256C02">
              <w:rPr>
                <w:szCs w:val="24"/>
              </w:rPr>
              <w:t>verfügen über Handlungsoptionen zur professionellen Bewältigung von förderschwerpunktspezifischen Herausforderungen;</w:t>
            </w:r>
          </w:p>
          <w:p w:rsidR="0063742B" w:rsidRPr="0063742B" w:rsidRDefault="0080102A" w:rsidP="005662FC">
            <w:pPr>
              <w:numPr>
                <w:ilvl w:val="0"/>
                <w:numId w:val="5"/>
              </w:numPr>
              <w:ind w:left="378" w:hanging="160"/>
            </w:pPr>
            <w:r w:rsidRPr="00256C02">
              <w:rPr>
                <w:szCs w:val="24"/>
              </w:rPr>
              <w:t>verfügen über Handlungsoptionen zur Förderung der Selbstständigkeit und Selbsttätigkeit an effizienten und differenzierten Aufgabenstellungen</w:t>
            </w:r>
          </w:p>
          <w:p w:rsidR="0080102A" w:rsidRDefault="0080102A" w:rsidP="005662FC">
            <w:pPr>
              <w:numPr>
                <w:ilvl w:val="0"/>
                <w:numId w:val="5"/>
              </w:numPr>
              <w:ind w:left="378" w:hanging="160"/>
            </w:pPr>
            <w:r w:rsidRPr="00256C02">
              <w:rPr>
                <w:szCs w:val="24"/>
              </w:rPr>
              <w:t>nutzen Methoden zur Überprüfung der Wirksamkeit sonderpädagogischer Fördermaßnahmen</w:t>
            </w:r>
          </w:p>
        </w:tc>
      </w:tr>
    </w:tbl>
    <w:p w:rsidR="0080102A" w:rsidRDefault="00967F93" w:rsidP="00F77AD7">
      <w:r>
        <w:br w:type="page"/>
      </w:r>
    </w:p>
    <w:tbl>
      <w:tblPr>
        <w:tblStyle w:val="Tabellenraster"/>
        <w:tblW w:w="14526" w:type="dxa"/>
        <w:tblLook w:val="04A0" w:firstRow="1" w:lastRow="0" w:firstColumn="1" w:lastColumn="0" w:noHBand="0" w:noVBand="1"/>
      </w:tblPr>
      <w:tblGrid>
        <w:gridCol w:w="14526"/>
      </w:tblGrid>
      <w:tr w:rsidR="0063742B" w:rsidRPr="006D2F18" w:rsidTr="0063742B">
        <w:tc>
          <w:tcPr>
            <w:tcW w:w="14526" w:type="dxa"/>
          </w:tcPr>
          <w:p w:rsidR="0063742B" w:rsidRPr="006D2F18" w:rsidRDefault="0063742B" w:rsidP="00A96E06">
            <w:pPr>
              <w:jc w:val="center"/>
              <w:rPr>
                <w:b/>
                <w:sz w:val="32"/>
                <w:szCs w:val="32"/>
              </w:rPr>
            </w:pPr>
            <w:r w:rsidRPr="006D2F18">
              <w:rPr>
                <w:b/>
                <w:sz w:val="32"/>
                <w:szCs w:val="32"/>
              </w:rPr>
              <w:lastRenderedPageBreak/>
              <w:t xml:space="preserve">Modul 5: </w:t>
            </w:r>
            <w:r w:rsidR="00967F93">
              <w:rPr>
                <w:b/>
                <w:sz w:val="32"/>
                <w:szCs w:val="32"/>
              </w:rPr>
              <w:t xml:space="preserve">Diagnose, Beratung und </w:t>
            </w:r>
            <w:r w:rsidR="00A96E06">
              <w:rPr>
                <w:b/>
                <w:sz w:val="32"/>
                <w:szCs w:val="32"/>
              </w:rPr>
              <w:t>Beurteilung</w:t>
            </w:r>
          </w:p>
        </w:tc>
      </w:tr>
      <w:tr w:rsidR="0063742B" w:rsidRPr="00D95653" w:rsidTr="0063742B">
        <w:tc>
          <w:tcPr>
            <w:tcW w:w="14526" w:type="dxa"/>
          </w:tcPr>
          <w:p w:rsidR="0063742B" w:rsidRPr="00D95653" w:rsidRDefault="0063742B" w:rsidP="006134B0">
            <w:pPr>
              <w:rPr>
                <w:b/>
              </w:rPr>
            </w:pPr>
            <w:r>
              <w:rPr>
                <w:b/>
              </w:rPr>
              <w:t>Inhalte (bereits bestehend)</w:t>
            </w:r>
          </w:p>
        </w:tc>
      </w:tr>
      <w:tr w:rsidR="0063742B" w:rsidRPr="00D95653" w:rsidTr="0063742B">
        <w:tc>
          <w:tcPr>
            <w:tcW w:w="14526" w:type="dxa"/>
          </w:tcPr>
          <w:p w:rsidR="0063742B" w:rsidRPr="00256C02" w:rsidRDefault="0063742B" w:rsidP="00D95653">
            <w:pPr>
              <w:numPr>
                <w:ilvl w:val="0"/>
                <w:numId w:val="6"/>
              </w:numPr>
              <w:rPr>
                <w:szCs w:val="24"/>
              </w:rPr>
            </w:pPr>
            <w:r w:rsidRPr="00256C02">
              <w:rPr>
                <w:szCs w:val="24"/>
              </w:rPr>
              <w:t>Entwicklungsstände, Lernpotenziale, Lernhindernisse und besondere Begabungen der eigenen Lerngruppen unter Berücksichtigung des Fachanspruchs</w:t>
            </w:r>
          </w:p>
          <w:p w:rsidR="0063742B" w:rsidRPr="00256C02" w:rsidRDefault="0063742B" w:rsidP="00D95653">
            <w:pPr>
              <w:numPr>
                <w:ilvl w:val="0"/>
                <w:numId w:val="6"/>
              </w:numPr>
              <w:rPr>
                <w:szCs w:val="24"/>
              </w:rPr>
            </w:pPr>
            <w:r w:rsidRPr="00256C02">
              <w:rPr>
                <w:szCs w:val="24"/>
              </w:rPr>
              <w:t>Fachspezifische Bildungsansprüche und Lernausgangslage der Kinder und Jugendlichen</w:t>
            </w:r>
          </w:p>
          <w:p w:rsidR="0063742B" w:rsidRPr="00256C02" w:rsidRDefault="0063742B" w:rsidP="00D95653">
            <w:pPr>
              <w:numPr>
                <w:ilvl w:val="0"/>
                <w:numId w:val="6"/>
              </w:numPr>
              <w:rPr>
                <w:szCs w:val="24"/>
              </w:rPr>
            </w:pPr>
            <w:r w:rsidRPr="00256C02">
              <w:rPr>
                <w:szCs w:val="24"/>
              </w:rPr>
              <w:t>Diagnose und Fördermaßnahmen im Rahmen der Planung und Durchführung sonderpädagogischer Fördermaßnahmen</w:t>
            </w:r>
          </w:p>
          <w:p w:rsidR="0063742B" w:rsidRPr="00256C02" w:rsidRDefault="0063742B" w:rsidP="00D95653">
            <w:pPr>
              <w:numPr>
                <w:ilvl w:val="0"/>
                <w:numId w:val="6"/>
              </w:numPr>
              <w:rPr>
                <w:szCs w:val="24"/>
              </w:rPr>
            </w:pPr>
            <w:r w:rsidRPr="00256C02">
              <w:rPr>
                <w:szCs w:val="24"/>
              </w:rPr>
              <w:t>Verfahren fachspezifischer Leistungsmessung und -beurteilung</w:t>
            </w:r>
            <w:r w:rsidRPr="00256C02" w:rsidDel="007D30D2">
              <w:rPr>
                <w:szCs w:val="24"/>
              </w:rPr>
              <w:t xml:space="preserve"> </w:t>
            </w:r>
          </w:p>
          <w:p w:rsidR="0063742B" w:rsidRPr="00D95653" w:rsidRDefault="0063742B" w:rsidP="003252AB">
            <w:pPr>
              <w:numPr>
                <w:ilvl w:val="0"/>
                <w:numId w:val="6"/>
              </w:numPr>
            </w:pPr>
            <w:r w:rsidRPr="00256C02">
              <w:rPr>
                <w:szCs w:val="24"/>
              </w:rPr>
              <w:t>Individualisierung von Lernprozessen aus förderschwerpunktbezogener Perspektive</w:t>
            </w:r>
          </w:p>
        </w:tc>
      </w:tr>
    </w:tbl>
    <w:p w:rsidR="0063742B" w:rsidRDefault="0063742B"/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7196"/>
        <w:gridCol w:w="3969"/>
        <w:gridCol w:w="3402"/>
      </w:tblGrid>
      <w:tr w:rsidR="006134B0" w:rsidRPr="00D95653" w:rsidTr="003252AB">
        <w:trPr>
          <w:tblHeader/>
        </w:trPr>
        <w:tc>
          <w:tcPr>
            <w:tcW w:w="7196" w:type="dxa"/>
          </w:tcPr>
          <w:p w:rsidR="006134B0" w:rsidRPr="00D95653" w:rsidRDefault="006134B0" w:rsidP="006134B0">
            <w:pPr>
              <w:rPr>
                <w:b/>
              </w:rPr>
            </w:pPr>
            <w:r>
              <w:rPr>
                <w:b/>
              </w:rPr>
              <w:t>Zusätzliche förderschwerpunktspezifische Inhalte</w:t>
            </w:r>
          </w:p>
        </w:tc>
        <w:tc>
          <w:tcPr>
            <w:tcW w:w="3969" w:type="dxa"/>
          </w:tcPr>
          <w:p w:rsidR="006134B0" w:rsidRDefault="006134B0" w:rsidP="003252AB">
            <w:pPr>
              <w:rPr>
                <w:b/>
              </w:rPr>
            </w:pPr>
            <w:r w:rsidRPr="00256C02">
              <w:rPr>
                <w:b/>
                <w:szCs w:val="24"/>
              </w:rPr>
              <w:t>Qualifikationen:</w:t>
            </w:r>
          </w:p>
        </w:tc>
        <w:tc>
          <w:tcPr>
            <w:tcW w:w="3402" w:type="dxa"/>
          </w:tcPr>
          <w:p w:rsidR="006134B0" w:rsidRPr="00D95653" w:rsidRDefault="006134B0" w:rsidP="006134B0">
            <w:pPr>
              <w:rPr>
                <w:b/>
              </w:rPr>
            </w:pPr>
            <w:r>
              <w:rPr>
                <w:b/>
              </w:rPr>
              <w:t>Erwartete Kompetenzen</w:t>
            </w:r>
          </w:p>
        </w:tc>
      </w:tr>
      <w:tr w:rsidR="006134B0" w:rsidRPr="00D95653" w:rsidTr="003252AB">
        <w:tc>
          <w:tcPr>
            <w:tcW w:w="7196" w:type="dxa"/>
            <w:tcMar>
              <w:left w:w="85" w:type="dxa"/>
              <w:right w:w="85" w:type="dxa"/>
            </w:tcMar>
          </w:tcPr>
          <w:p w:rsidR="006134B0" w:rsidRPr="00256C02" w:rsidRDefault="006134B0" w:rsidP="006134B0">
            <w:pPr>
              <w:rPr>
                <w:szCs w:val="24"/>
              </w:rPr>
            </w:pP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I. Leitende Gesichtspunkte pädagogischer Diagnostik</w:t>
            </w:r>
          </w:p>
          <w:p w:rsidR="006134B0" w:rsidRPr="00256C02" w:rsidRDefault="006134B0" w:rsidP="006E0C9A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 xml:space="preserve">Reflexion über Anlass und Begründung  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 xml:space="preserve">Entwicklungsorientierte Vorgehensweise 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Sequentielle, von Fragestellungen und Hypothesen geleitete Vorgehensweise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Indikation geeigneter Informationsquellen und diagnostischer Verfahren zur Feststellung der Lernausgangslage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Möglichkeiten und Verfahren der Diagnostik ( Beobachtung, informelle und standardisierte Testverfahren)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Kenntnisse und Anwendung von grundlegenden pädagogisch-diagnostischen Testverfahren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Kenntnisse und Anwendung von Intelligenztestverfahren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Kritische Auseinandersetzung zum Einsatz und der Verwertbarkeit von Testverfahren in pädagogischen Handlungsfeldern</w:t>
            </w:r>
          </w:p>
          <w:p w:rsidR="006134B0" w:rsidRPr="00256C02" w:rsidRDefault="006134B0" w:rsidP="009D1D59">
            <w:pPr>
              <w:numPr>
                <w:ilvl w:val="0"/>
                <w:numId w:val="7"/>
              </w:numPr>
              <w:ind w:left="284" w:hanging="207"/>
              <w:rPr>
                <w:szCs w:val="24"/>
              </w:rPr>
            </w:pPr>
            <w:r w:rsidRPr="00256C02">
              <w:rPr>
                <w:szCs w:val="24"/>
              </w:rPr>
              <w:t>Anamneseerhebung, Eltern- und Lehrergespräche</w:t>
            </w:r>
          </w:p>
          <w:p w:rsidR="006134B0" w:rsidRPr="00256C02" w:rsidRDefault="006134B0" w:rsidP="009D1D59">
            <w:pPr>
              <w:ind w:left="284"/>
              <w:rPr>
                <w:szCs w:val="24"/>
              </w:rPr>
            </w:pP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II. Pädagogische Strategien und präventive Interventionsmöglichkeiten</w:t>
            </w:r>
          </w:p>
          <w:p w:rsidR="006134B0" w:rsidRPr="00256C02" w:rsidRDefault="006134B0" w:rsidP="006134B0">
            <w:pPr>
              <w:rPr>
                <w:szCs w:val="24"/>
              </w:rPr>
            </w:pPr>
          </w:p>
          <w:p w:rsidR="006134B0" w:rsidRPr="006134B0" w:rsidRDefault="006134B0" w:rsidP="009D1D59">
            <w:pPr>
              <w:numPr>
                <w:ilvl w:val="0"/>
                <w:numId w:val="8"/>
              </w:numPr>
              <w:ind w:left="142" w:hanging="207"/>
              <w:rPr>
                <w:szCs w:val="24"/>
              </w:rPr>
            </w:pPr>
            <w:r w:rsidRPr="006134B0">
              <w:rPr>
                <w:szCs w:val="24"/>
              </w:rPr>
              <w:t>Förderplanung und Förderzyklus</w:t>
            </w:r>
            <w:r w:rsidRPr="006134B0">
              <w:rPr>
                <w:szCs w:val="24"/>
              </w:rPr>
              <w:br/>
              <w:t>- Konzepte der Förderdiagnostik</w:t>
            </w:r>
            <w:r w:rsidRPr="006134B0">
              <w:rPr>
                <w:szCs w:val="24"/>
              </w:rPr>
              <w:br/>
            </w:r>
            <w:r w:rsidRPr="006134B0">
              <w:rPr>
                <w:szCs w:val="24"/>
              </w:rPr>
              <w:lastRenderedPageBreak/>
              <w:t>- Berücksichtigung der Entwicklungsproximalität</w:t>
            </w:r>
            <w:r w:rsidRPr="006134B0">
              <w:rPr>
                <w:szCs w:val="24"/>
              </w:rPr>
              <w:br/>
              <w:t>- Stärken- und Interessenorientierung</w:t>
            </w:r>
            <w:r w:rsidRPr="006134B0">
              <w:rPr>
                <w:szCs w:val="24"/>
              </w:rPr>
              <w:br/>
              <w:t>- Erfassung unterstützender Ressourcen</w:t>
            </w:r>
            <w:r w:rsidRPr="006134B0">
              <w:rPr>
                <w:szCs w:val="24"/>
              </w:rPr>
              <w:br/>
              <w:t>- Relevante Förderbereiche</w:t>
            </w:r>
            <w:r w:rsidRPr="006134B0">
              <w:rPr>
                <w:szCs w:val="24"/>
              </w:rPr>
              <w:br/>
              <w:t>- Festlegung von prozessbezogenen Förderzielen und Zeitraum</w:t>
            </w:r>
            <w:r w:rsidRPr="006134B0">
              <w:rPr>
                <w:szCs w:val="24"/>
              </w:rPr>
              <w:br/>
              <w:t>- Erstellung einer Förderplanung und notwendige Aktualisierung</w:t>
            </w:r>
            <w:r>
              <w:rPr>
                <w:szCs w:val="24"/>
              </w:rPr>
              <w:br/>
            </w:r>
            <w:r w:rsidRPr="006134B0">
              <w:rPr>
                <w:szCs w:val="24"/>
              </w:rPr>
              <w:t>- Wirksamkeitsüberprüfung</w:t>
            </w:r>
          </w:p>
          <w:p w:rsidR="006134B0" w:rsidRPr="00256C02" w:rsidRDefault="006134B0" w:rsidP="009D1D59">
            <w:pPr>
              <w:ind w:left="142"/>
              <w:rPr>
                <w:szCs w:val="24"/>
              </w:rPr>
            </w:pPr>
          </w:p>
          <w:p w:rsidR="006134B0" w:rsidRPr="006134B0" w:rsidRDefault="006134B0" w:rsidP="009D1D59">
            <w:pPr>
              <w:numPr>
                <w:ilvl w:val="0"/>
                <w:numId w:val="8"/>
              </w:numPr>
              <w:ind w:left="142" w:hanging="218"/>
              <w:rPr>
                <w:szCs w:val="24"/>
              </w:rPr>
            </w:pPr>
            <w:r w:rsidRPr="006134B0">
              <w:rPr>
                <w:szCs w:val="24"/>
              </w:rPr>
              <w:t>Beurteilung</w:t>
            </w:r>
            <w:r w:rsidRPr="006134B0">
              <w:rPr>
                <w:szCs w:val="24"/>
              </w:rPr>
              <w:br/>
              <w:t>- Verfahren zur Feststellung individueller Lernleistungen ( z.B. Portfolio, Lernbegleitheft, Selbsteinschätzungsbögen usw.)</w:t>
            </w:r>
            <w:r>
              <w:rPr>
                <w:szCs w:val="24"/>
              </w:rPr>
              <w:br/>
              <w:t xml:space="preserve">- </w:t>
            </w:r>
            <w:r w:rsidRPr="006134B0">
              <w:rPr>
                <w:szCs w:val="24"/>
              </w:rPr>
              <w:t>Möglichkeiten zur Konkretisierung von Nachteilsausgleich und alternativen Möglichkeiten zur Leistungsmessung</w:t>
            </w:r>
          </w:p>
          <w:p w:rsidR="006134B0" w:rsidRPr="00256C02" w:rsidRDefault="006134B0" w:rsidP="006134B0">
            <w:pPr>
              <w:ind w:left="720"/>
              <w:rPr>
                <w:szCs w:val="24"/>
              </w:rPr>
            </w:pPr>
          </w:p>
          <w:p w:rsidR="006134B0" w:rsidRPr="006134B0" w:rsidRDefault="006134B0" w:rsidP="009D1D59">
            <w:pPr>
              <w:numPr>
                <w:ilvl w:val="0"/>
                <w:numId w:val="8"/>
              </w:numPr>
              <w:ind w:left="142" w:hanging="218"/>
              <w:rPr>
                <w:szCs w:val="24"/>
              </w:rPr>
            </w:pPr>
            <w:r w:rsidRPr="006134B0">
              <w:rPr>
                <w:szCs w:val="24"/>
              </w:rPr>
              <w:t>Beratung</w:t>
            </w:r>
            <w:r w:rsidRPr="006134B0">
              <w:rPr>
                <w:szCs w:val="24"/>
              </w:rPr>
              <w:br/>
              <w:t>- individuelle Lernberatung</w:t>
            </w:r>
            <w:r w:rsidRPr="006134B0">
              <w:rPr>
                <w:szCs w:val="24"/>
              </w:rPr>
              <w:br/>
              <w:t>- Beratung im Kontext multiprofessioneller Zusammenarbeit</w:t>
            </w:r>
            <w:r>
              <w:rPr>
                <w:szCs w:val="24"/>
              </w:rPr>
              <w:br/>
            </w:r>
            <w:r w:rsidR="005662FC">
              <w:rPr>
                <w:szCs w:val="24"/>
              </w:rPr>
              <w:t xml:space="preserve">- </w:t>
            </w:r>
            <w:r w:rsidRPr="006134B0">
              <w:rPr>
                <w:szCs w:val="24"/>
              </w:rPr>
              <w:t>Elternberatung</w:t>
            </w:r>
          </w:p>
          <w:p w:rsidR="006134B0" w:rsidRPr="00256C02" w:rsidRDefault="006134B0" w:rsidP="006134B0">
            <w:pPr>
              <w:ind w:left="720"/>
              <w:rPr>
                <w:szCs w:val="24"/>
              </w:rPr>
            </w:pP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III. Die Feststellung des sonderpädagogischen Förderbedarfs</w:t>
            </w:r>
          </w:p>
          <w:p w:rsidR="006134B0" w:rsidRPr="00256C02" w:rsidRDefault="006134B0" w:rsidP="006134B0">
            <w:pPr>
              <w:rPr>
                <w:szCs w:val="24"/>
              </w:rPr>
            </w:pP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- Der gültige Rechtsrahmen ( Schulgesetz und Schulordnungen), organisatorische Voraussetzungen</w:t>
            </w:r>
            <w:r w:rsidRPr="00256C02">
              <w:rPr>
                <w:szCs w:val="24"/>
              </w:rPr>
              <w:br/>
              <w:t>- Umgang mit dem rheinland-pfälzischen Gutachtenportal</w:t>
            </w: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 xml:space="preserve">- Funktion  und Zielsetzung ( Diagnostischer Auftrag und beratender Zweck) </w:t>
            </w:r>
          </w:p>
          <w:p w:rsidR="006134B0" w:rsidRPr="00D95653" w:rsidRDefault="006134B0" w:rsidP="006134B0">
            <w:r w:rsidRPr="00256C02">
              <w:rPr>
                <w:szCs w:val="24"/>
              </w:rPr>
              <w:t>- Aufbau und Form des Gutachtens ( Anlass, Fragestellung, Auswahl der diagnostischen Verfahren, Durchführung der Untersuchung, Darstellung der Ergebnisse, Interpretation der Befunde)</w:t>
            </w:r>
          </w:p>
        </w:tc>
        <w:tc>
          <w:tcPr>
            <w:tcW w:w="3969" w:type="dxa"/>
          </w:tcPr>
          <w:p w:rsidR="006134B0" w:rsidRPr="00256C02" w:rsidRDefault="006134B0" w:rsidP="006134B0">
            <w:pPr>
              <w:rPr>
                <w:szCs w:val="24"/>
              </w:rPr>
            </w:pP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>Die Lehrkräfte lernen,</w:t>
            </w:r>
          </w:p>
          <w:p w:rsidR="006134B0" w:rsidRDefault="006134B0" w:rsidP="006134B0">
            <w:pPr>
              <w:rPr>
                <w:szCs w:val="24"/>
              </w:rPr>
            </w:pPr>
          </w:p>
          <w:p w:rsidR="006134B0" w:rsidRPr="00256C02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t>den lern- und entwicklungspsychologischen Stand der Schülerinnen und Schüler unter fachspezifischen Gesichtspunkten in den für den Fachunterricht relevanten Bereichen zu diagnostizieren;</w:t>
            </w:r>
          </w:p>
          <w:p w:rsidR="006134B0" w:rsidRPr="00256C02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t>fachspezifische Kompetenzen des Lernenden individuell zu fördern;</w:t>
            </w:r>
          </w:p>
          <w:p w:rsidR="006134B0" w:rsidRPr="00256C02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t xml:space="preserve">Ergebnisse von </w:t>
            </w:r>
            <w:proofErr w:type="spellStart"/>
            <w:r w:rsidRPr="00256C02">
              <w:rPr>
                <w:szCs w:val="24"/>
              </w:rPr>
              <w:t>Lernstandserhebungen</w:t>
            </w:r>
            <w:proofErr w:type="spellEnd"/>
            <w:r w:rsidRPr="00256C02">
              <w:rPr>
                <w:szCs w:val="24"/>
              </w:rPr>
              <w:t xml:space="preserve"> und vergleichende Leistungsfeststellungen zu deuten;</w:t>
            </w:r>
          </w:p>
          <w:p w:rsidR="006134B0" w:rsidRPr="00256C02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t>Individuell-spezifische Aneignungsprozesse beim Lernen zu berücksichtigen;</w:t>
            </w:r>
          </w:p>
          <w:p w:rsidR="006134B0" w:rsidRPr="00256C02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lastRenderedPageBreak/>
              <w:t>Angemessene individuell-spezifische Fördermaßnahmen abzuleiten;</w:t>
            </w:r>
          </w:p>
          <w:p w:rsidR="006134B0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t>unterschiedliche Formen der Leistungsmessung und Leistungsbeurteilung des Faches zu verstehen, verantwortungsbewusst anzuwenden und zu reflektieren;</w:t>
            </w:r>
          </w:p>
          <w:p w:rsidR="006134B0" w:rsidRPr="00256C02" w:rsidRDefault="006134B0" w:rsidP="006134B0">
            <w:pPr>
              <w:numPr>
                <w:ilvl w:val="0"/>
                <w:numId w:val="5"/>
              </w:numPr>
              <w:ind w:left="292" w:hanging="221"/>
              <w:rPr>
                <w:szCs w:val="24"/>
              </w:rPr>
            </w:pPr>
            <w:r w:rsidRPr="00256C02">
              <w:rPr>
                <w:szCs w:val="24"/>
              </w:rPr>
              <w:t>Lernende, Eltern und andere Lehrkräfte zu beraten;</w:t>
            </w:r>
          </w:p>
        </w:tc>
        <w:tc>
          <w:tcPr>
            <w:tcW w:w="3402" w:type="dxa"/>
          </w:tcPr>
          <w:p w:rsidR="003252AB" w:rsidRDefault="003252AB" w:rsidP="006134B0">
            <w:pPr>
              <w:rPr>
                <w:szCs w:val="24"/>
              </w:rPr>
            </w:pPr>
          </w:p>
          <w:p w:rsidR="006134B0" w:rsidRPr="00256C02" w:rsidRDefault="006134B0" w:rsidP="006134B0">
            <w:pPr>
              <w:rPr>
                <w:szCs w:val="24"/>
              </w:rPr>
            </w:pPr>
            <w:r w:rsidRPr="00256C02">
              <w:rPr>
                <w:szCs w:val="24"/>
              </w:rPr>
              <w:t xml:space="preserve">Die Lehrkräfte </w:t>
            </w:r>
          </w:p>
          <w:p w:rsidR="006134B0" w:rsidRPr="00256C02" w:rsidRDefault="006134B0" w:rsidP="006134B0">
            <w:pPr>
              <w:rPr>
                <w:szCs w:val="24"/>
              </w:rPr>
            </w:pP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54"/>
              <w:rPr>
                <w:szCs w:val="24"/>
              </w:rPr>
            </w:pPr>
            <w:r w:rsidRPr="00256C02">
              <w:rPr>
                <w:szCs w:val="24"/>
              </w:rPr>
              <w:t>diagnostizieren die Lern- und Leistungsvoraussetzungen der Schülerinnen und Schüler in den für den Fachunterricht relevanten Bereichen;</w:t>
            </w: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54"/>
              <w:rPr>
                <w:szCs w:val="24"/>
              </w:rPr>
            </w:pPr>
            <w:r w:rsidRPr="00256C02">
              <w:rPr>
                <w:szCs w:val="24"/>
              </w:rPr>
              <w:t>erstellen individuell-spezifische Förderpläne im Dialog von Lehrenden und Lernenden;</w:t>
            </w: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84"/>
              <w:rPr>
                <w:szCs w:val="24"/>
              </w:rPr>
            </w:pPr>
            <w:r w:rsidRPr="00256C02">
              <w:rPr>
                <w:szCs w:val="24"/>
              </w:rPr>
              <w:t>passen Unterrichtssituationen im Fachunterricht wie auch im fächerübergreifenden Unterricht den individuellen Lernwegen der Lernenden an;</w:t>
            </w: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54"/>
              <w:rPr>
                <w:szCs w:val="24"/>
              </w:rPr>
            </w:pPr>
            <w:r w:rsidRPr="00256C02">
              <w:rPr>
                <w:szCs w:val="24"/>
              </w:rPr>
              <w:t>verstehen Differenzierung und Individualisie</w:t>
            </w:r>
            <w:r w:rsidRPr="00256C02">
              <w:rPr>
                <w:szCs w:val="24"/>
              </w:rPr>
              <w:lastRenderedPageBreak/>
              <w:t xml:space="preserve">rung als Unterrichtsprinzip unter Berücksichtigung basaler Lerninhalte und additiver Lernmöglichkeiten </w:t>
            </w: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54"/>
              <w:rPr>
                <w:szCs w:val="24"/>
              </w:rPr>
            </w:pPr>
            <w:r w:rsidRPr="00256C02">
              <w:rPr>
                <w:szCs w:val="24"/>
              </w:rPr>
              <w:t xml:space="preserve">reflektieren und begleiten fachliche und persönliche Entwicklung der Schülerinnen und Schüler </w:t>
            </w: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54"/>
              <w:rPr>
                <w:szCs w:val="24"/>
              </w:rPr>
            </w:pPr>
            <w:r w:rsidRPr="00256C02">
              <w:rPr>
                <w:szCs w:val="24"/>
              </w:rPr>
              <w:t>verstehen unterschiedliche fachspezifische Beurteilungssysteme und setzen diese ein;</w:t>
            </w:r>
          </w:p>
          <w:p w:rsidR="006134B0" w:rsidRPr="00256C02" w:rsidRDefault="006134B0" w:rsidP="005662FC">
            <w:pPr>
              <w:numPr>
                <w:ilvl w:val="0"/>
                <w:numId w:val="5"/>
              </w:numPr>
              <w:ind w:left="459" w:hanging="254"/>
              <w:rPr>
                <w:szCs w:val="24"/>
              </w:rPr>
            </w:pPr>
            <w:r w:rsidRPr="00256C02">
              <w:rPr>
                <w:szCs w:val="24"/>
              </w:rPr>
              <w:t>entwickeln transparente und überprüfbare Kriterien für eine am Lernenden und am Unterrichtsprozess orientierte Leistungsbeurteilung;</w:t>
            </w:r>
          </w:p>
          <w:p w:rsidR="006134B0" w:rsidRPr="006134B0" w:rsidRDefault="006134B0" w:rsidP="005662FC">
            <w:pPr>
              <w:numPr>
                <w:ilvl w:val="0"/>
                <w:numId w:val="5"/>
              </w:numPr>
              <w:ind w:left="459" w:hanging="254"/>
            </w:pPr>
            <w:r w:rsidRPr="00256C02">
              <w:rPr>
                <w:szCs w:val="24"/>
              </w:rPr>
              <w:t>berücksichtigen insbesondere fachspezifische Ausprägungen und Anforderungen</w:t>
            </w:r>
          </w:p>
          <w:p w:rsidR="006134B0" w:rsidRPr="00D95653" w:rsidRDefault="006134B0" w:rsidP="005662FC">
            <w:pPr>
              <w:numPr>
                <w:ilvl w:val="0"/>
                <w:numId w:val="5"/>
              </w:numPr>
              <w:ind w:left="459" w:hanging="254"/>
            </w:pPr>
            <w:r w:rsidRPr="00256C02">
              <w:rPr>
                <w:szCs w:val="24"/>
              </w:rPr>
              <w:t>reflektieren und üben unterschiedliche Beratungsformen in spezifischen Beratungskontexten sonderpädagogischer Förderung</w:t>
            </w:r>
          </w:p>
        </w:tc>
      </w:tr>
    </w:tbl>
    <w:p w:rsidR="00B9088C" w:rsidRDefault="00B9088C" w:rsidP="00B9088C"/>
    <w:sectPr w:rsidR="00B9088C" w:rsidSect="00B9088C">
      <w:pgSz w:w="16838" w:h="11906" w:orient="landscape" w:code="9"/>
      <w:pgMar w:top="1361" w:right="2688" w:bottom="1304" w:left="167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EB" w:rsidRDefault="009643EB">
      <w:r>
        <w:separator/>
      </w:r>
    </w:p>
  </w:endnote>
  <w:endnote w:type="continuationSeparator" w:id="0">
    <w:p w:rsidR="009643EB" w:rsidRDefault="009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0D" w:rsidRDefault="00DA68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B0" w:rsidRPr="00C6260D" w:rsidRDefault="006134B0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9A4460">
      <w:rPr>
        <w:rStyle w:val="Seitenzahl"/>
        <w:noProof/>
        <w:sz w:val="16"/>
        <w:szCs w:val="16"/>
      </w:rPr>
      <w:t>3</w:t>
    </w:r>
    <w:r w:rsidRPr="00C6260D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0D" w:rsidRDefault="00DA68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EB" w:rsidRDefault="009643EB">
      <w:r>
        <w:separator/>
      </w:r>
    </w:p>
  </w:footnote>
  <w:footnote w:type="continuationSeparator" w:id="0">
    <w:p w:rsidR="009643EB" w:rsidRDefault="009643EB">
      <w:r>
        <w:continuationSeparator/>
      </w:r>
    </w:p>
  </w:footnote>
  <w:footnote w:id="1">
    <w:p w:rsidR="00697D27" w:rsidRDefault="00697D27" w:rsidP="00697D27">
      <w:pPr>
        <w:pStyle w:val="Funotentext"/>
      </w:pPr>
      <w:r>
        <w:rPr>
          <w:rStyle w:val="Funotenzeichen"/>
        </w:rPr>
        <w:footnoteRef/>
      </w:r>
      <w:r>
        <w:t xml:space="preserve"> von Personen, die die Wechselprüfung IV ohne mindestens einjährige Tätigkeit mit mindestens der Hälfte der wöchentlichen Arbeitszeit an einer Förderschule ablegen wollen, </w:t>
      </w:r>
      <w:r w:rsidRPr="00BA3831">
        <w:t>sind</w:t>
      </w:r>
      <w:r w:rsidRPr="00BA3831">
        <w:rPr>
          <w:b/>
        </w:rPr>
        <w:t xml:space="preserve"> zusätzlich</w:t>
      </w:r>
      <w:r>
        <w:t xml:space="preserve"> je zwei Module der gewählten Schwerpunkte sonderpädagogischer Förderung, in denen die Wechselprüfung IV abgelegt werden soll, an einer Hochschule, die den entsprechenden Studiengang für das Lehramt an Förderschulen anbietet, zu studieren.</w:t>
      </w:r>
    </w:p>
    <w:p w:rsidR="00697D27" w:rsidRDefault="00697D2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B0" w:rsidRDefault="006134B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134B0" w:rsidRDefault="006134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0D" w:rsidRDefault="00DA68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0D" w:rsidRDefault="00DA68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F7D27"/>
    <w:multiLevelType w:val="hybridMultilevel"/>
    <w:tmpl w:val="1EAE6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3AE2"/>
    <w:multiLevelType w:val="multilevel"/>
    <w:tmpl w:val="76C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30AF"/>
    <w:multiLevelType w:val="hybridMultilevel"/>
    <w:tmpl w:val="5656AFB4"/>
    <w:lvl w:ilvl="0" w:tplc="036ED21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120"/>
    <w:multiLevelType w:val="hybridMultilevel"/>
    <w:tmpl w:val="100E60AC"/>
    <w:lvl w:ilvl="0" w:tplc="F59AC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E3B"/>
    <w:multiLevelType w:val="hybridMultilevel"/>
    <w:tmpl w:val="24E81F06"/>
    <w:lvl w:ilvl="0" w:tplc="788E82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626A"/>
    <w:multiLevelType w:val="hybridMultilevel"/>
    <w:tmpl w:val="99FCF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1B82"/>
    <w:multiLevelType w:val="hybridMultilevel"/>
    <w:tmpl w:val="BC8E3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093B"/>
    <w:multiLevelType w:val="hybridMultilevel"/>
    <w:tmpl w:val="BECC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64728"/>
    <w:multiLevelType w:val="hybridMultilevel"/>
    <w:tmpl w:val="F6ACDC48"/>
    <w:lvl w:ilvl="0" w:tplc="93C8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54A1"/>
    <w:multiLevelType w:val="hybridMultilevel"/>
    <w:tmpl w:val="F4B0C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84C96"/>
    <w:multiLevelType w:val="hybridMultilevel"/>
    <w:tmpl w:val="3B8A6544"/>
    <w:lvl w:ilvl="0" w:tplc="9A145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362"/>
    <w:multiLevelType w:val="hybridMultilevel"/>
    <w:tmpl w:val="08C27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545E"/>
    <w:multiLevelType w:val="hybridMultilevel"/>
    <w:tmpl w:val="FC5619EC"/>
    <w:lvl w:ilvl="0" w:tplc="872AF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D95653"/>
    <w:rsid w:val="00014D45"/>
    <w:rsid w:val="00015957"/>
    <w:rsid w:val="00052506"/>
    <w:rsid w:val="00053F23"/>
    <w:rsid w:val="00067111"/>
    <w:rsid w:val="00075568"/>
    <w:rsid w:val="00077277"/>
    <w:rsid w:val="0008390B"/>
    <w:rsid w:val="0008591F"/>
    <w:rsid w:val="000C2D91"/>
    <w:rsid w:val="000C6846"/>
    <w:rsid w:val="000D33AE"/>
    <w:rsid w:val="000D42E2"/>
    <w:rsid w:val="000F3A67"/>
    <w:rsid w:val="000F3D94"/>
    <w:rsid w:val="001073D0"/>
    <w:rsid w:val="00121619"/>
    <w:rsid w:val="001271F0"/>
    <w:rsid w:val="0013278D"/>
    <w:rsid w:val="0013304F"/>
    <w:rsid w:val="00134E21"/>
    <w:rsid w:val="00137678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25BCA"/>
    <w:rsid w:val="00241745"/>
    <w:rsid w:val="00252422"/>
    <w:rsid w:val="00260626"/>
    <w:rsid w:val="00265DDA"/>
    <w:rsid w:val="00272859"/>
    <w:rsid w:val="00285A7E"/>
    <w:rsid w:val="00286195"/>
    <w:rsid w:val="002863A9"/>
    <w:rsid w:val="00295A4C"/>
    <w:rsid w:val="002C26B4"/>
    <w:rsid w:val="002E6780"/>
    <w:rsid w:val="002F1AD4"/>
    <w:rsid w:val="00300904"/>
    <w:rsid w:val="00301A26"/>
    <w:rsid w:val="003165F3"/>
    <w:rsid w:val="003252AB"/>
    <w:rsid w:val="00332FC0"/>
    <w:rsid w:val="00333F2E"/>
    <w:rsid w:val="00337402"/>
    <w:rsid w:val="003405A8"/>
    <w:rsid w:val="003520BA"/>
    <w:rsid w:val="003676CB"/>
    <w:rsid w:val="00370DBB"/>
    <w:rsid w:val="00376D49"/>
    <w:rsid w:val="00395E65"/>
    <w:rsid w:val="00396D0F"/>
    <w:rsid w:val="003B2A66"/>
    <w:rsid w:val="003B3627"/>
    <w:rsid w:val="003C4C9E"/>
    <w:rsid w:val="003F0F36"/>
    <w:rsid w:val="003F10F1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A74F5"/>
    <w:rsid w:val="004B6051"/>
    <w:rsid w:val="004B64DA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42BB5"/>
    <w:rsid w:val="00551EC7"/>
    <w:rsid w:val="00553097"/>
    <w:rsid w:val="005552CE"/>
    <w:rsid w:val="00556E35"/>
    <w:rsid w:val="005602F9"/>
    <w:rsid w:val="00560A9C"/>
    <w:rsid w:val="005662F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134B0"/>
    <w:rsid w:val="00620289"/>
    <w:rsid w:val="0063066E"/>
    <w:rsid w:val="006319CA"/>
    <w:rsid w:val="00632CF5"/>
    <w:rsid w:val="00633127"/>
    <w:rsid w:val="006373DA"/>
    <w:rsid w:val="0063742B"/>
    <w:rsid w:val="00637B4B"/>
    <w:rsid w:val="00637BD4"/>
    <w:rsid w:val="00653FFB"/>
    <w:rsid w:val="006571F5"/>
    <w:rsid w:val="00662B81"/>
    <w:rsid w:val="006970F8"/>
    <w:rsid w:val="00697D1A"/>
    <w:rsid w:val="00697D27"/>
    <w:rsid w:val="006A02DC"/>
    <w:rsid w:val="006B1AFC"/>
    <w:rsid w:val="006B2949"/>
    <w:rsid w:val="006B2D58"/>
    <w:rsid w:val="006B2DD5"/>
    <w:rsid w:val="006C17C8"/>
    <w:rsid w:val="006D2653"/>
    <w:rsid w:val="006D2F18"/>
    <w:rsid w:val="006E08E5"/>
    <w:rsid w:val="006E0C9A"/>
    <w:rsid w:val="006E326D"/>
    <w:rsid w:val="006E4E01"/>
    <w:rsid w:val="006E4F6B"/>
    <w:rsid w:val="006F3EEE"/>
    <w:rsid w:val="0070029A"/>
    <w:rsid w:val="00717BB3"/>
    <w:rsid w:val="0072255D"/>
    <w:rsid w:val="00751930"/>
    <w:rsid w:val="007625DF"/>
    <w:rsid w:val="00764392"/>
    <w:rsid w:val="00792DF9"/>
    <w:rsid w:val="00795BCC"/>
    <w:rsid w:val="007B0B61"/>
    <w:rsid w:val="007B0DD8"/>
    <w:rsid w:val="007D64BA"/>
    <w:rsid w:val="007D73AC"/>
    <w:rsid w:val="007E56F3"/>
    <w:rsid w:val="007F0B9D"/>
    <w:rsid w:val="0080102A"/>
    <w:rsid w:val="00804F64"/>
    <w:rsid w:val="008151FF"/>
    <w:rsid w:val="008155B6"/>
    <w:rsid w:val="00820B9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549DD"/>
    <w:rsid w:val="009643EB"/>
    <w:rsid w:val="00965D22"/>
    <w:rsid w:val="009670D2"/>
    <w:rsid w:val="00967F93"/>
    <w:rsid w:val="009861DB"/>
    <w:rsid w:val="00986D66"/>
    <w:rsid w:val="00992767"/>
    <w:rsid w:val="009A4460"/>
    <w:rsid w:val="009A496E"/>
    <w:rsid w:val="009C0147"/>
    <w:rsid w:val="009C17E7"/>
    <w:rsid w:val="009D1D59"/>
    <w:rsid w:val="009E0200"/>
    <w:rsid w:val="009F7F97"/>
    <w:rsid w:val="00A02C80"/>
    <w:rsid w:val="00A03DC2"/>
    <w:rsid w:val="00A2071A"/>
    <w:rsid w:val="00A30061"/>
    <w:rsid w:val="00A424B7"/>
    <w:rsid w:val="00A43FD6"/>
    <w:rsid w:val="00A447BA"/>
    <w:rsid w:val="00A6289A"/>
    <w:rsid w:val="00A65E7D"/>
    <w:rsid w:val="00A77DFA"/>
    <w:rsid w:val="00A858B1"/>
    <w:rsid w:val="00A8734A"/>
    <w:rsid w:val="00A96E06"/>
    <w:rsid w:val="00AA2A93"/>
    <w:rsid w:val="00AA2B09"/>
    <w:rsid w:val="00AA55E5"/>
    <w:rsid w:val="00AB3664"/>
    <w:rsid w:val="00AD59B4"/>
    <w:rsid w:val="00AE1BAF"/>
    <w:rsid w:val="00AE34A1"/>
    <w:rsid w:val="00AF09A3"/>
    <w:rsid w:val="00AF7050"/>
    <w:rsid w:val="00B0345D"/>
    <w:rsid w:val="00B03D6B"/>
    <w:rsid w:val="00B150A1"/>
    <w:rsid w:val="00B30191"/>
    <w:rsid w:val="00B3775D"/>
    <w:rsid w:val="00B414DE"/>
    <w:rsid w:val="00B424DA"/>
    <w:rsid w:val="00B42EB2"/>
    <w:rsid w:val="00B60366"/>
    <w:rsid w:val="00B776AD"/>
    <w:rsid w:val="00B82608"/>
    <w:rsid w:val="00B9088C"/>
    <w:rsid w:val="00B93E07"/>
    <w:rsid w:val="00BA34F3"/>
    <w:rsid w:val="00BB03C8"/>
    <w:rsid w:val="00BB0408"/>
    <w:rsid w:val="00BC2E15"/>
    <w:rsid w:val="00BD31FF"/>
    <w:rsid w:val="00BD3DF5"/>
    <w:rsid w:val="00BD4370"/>
    <w:rsid w:val="00BF2590"/>
    <w:rsid w:val="00C114ED"/>
    <w:rsid w:val="00C33DAA"/>
    <w:rsid w:val="00C41580"/>
    <w:rsid w:val="00C4296D"/>
    <w:rsid w:val="00C50DA1"/>
    <w:rsid w:val="00C5326B"/>
    <w:rsid w:val="00C56A37"/>
    <w:rsid w:val="00C57444"/>
    <w:rsid w:val="00C6260D"/>
    <w:rsid w:val="00C64F19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508CA"/>
    <w:rsid w:val="00D83F2F"/>
    <w:rsid w:val="00D853BD"/>
    <w:rsid w:val="00D95653"/>
    <w:rsid w:val="00DA0D58"/>
    <w:rsid w:val="00DA4936"/>
    <w:rsid w:val="00DA680D"/>
    <w:rsid w:val="00DB0A9D"/>
    <w:rsid w:val="00DB1869"/>
    <w:rsid w:val="00DD67A0"/>
    <w:rsid w:val="00E00E3D"/>
    <w:rsid w:val="00E05A1B"/>
    <w:rsid w:val="00E05C4D"/>
    <w:rsid w:val="00E06867"/>
    <w:rsid w:val="00E07FE8"/>
    <w:rsid w:val="00E171D6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3D62"/>
    <w:rsid w:val="00F256EC"/>
    <w:rsid w:val="00F30A0D"/>
    <w:rsid w:val="00F30A60"/>
    <w:rsid w:val="00F36440"/>
    <w:rsid w:val="00F3724E"/>
    <w:rsid w:val="00F46538"/>
    <w:rsid w:val="00F47532"/>
    <w:rsid w:val="00F518F6"/>
    <w:rsid w:val="00F5533C"/>
    <w:rsid w:val="00F613EE"/>
    <w:rsid w:val="00F77AD7"/>
    <w:rsid w:val="00F85BD4"/>
    <w:rsid w:val="00FC191B"/>
    <w:rsid w:val="00FC6F4A"/>
    <w:rsid w:val="00FD162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1F4A4C-21F3-41A3-A8D3-99268386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B3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character" w:styleId="Hyperlink">
    <w:name w:val="Hyperlink"/>
    <w:rsid w:val="00637BD4"/>
    <w:rPr>
      <w:color w:val="0000FF"/>
      <w:u w:val="single"/>
    </w:rPr>
  </w:style>
  <w:style w:type="character" w:styleId="Kommentarzeichen">
    <w:name w:val="annotation reference"/>
    <w:basedOn w:val="Absatz-Standardschriftart"/>
    <w:rsid w:val="00AB36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36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B36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B36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3664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AB36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366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97D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97D27"/>
    <w:rPr>
      <w:rFonts w:ascii="Arial" w:hAnsi="Arial" w:cs="Arial"/>
    </w:rPr>
  </w:style>
  <w:style w:type="character" w:styleId="Funotenzeichen">
    <w:name w:val="footnote reference"/>
    <w:basedOn w:val="Absatz-Standardschriftart"/>
    <w:rsid w:val="00697D2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3F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B3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nseminar.rlp.de/foesch/kaiserslauter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ienseminar.rlp.de/foesch/kaiserslauter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udienseminar.rlp.de/foesch/neuwie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ienseminar.rlp.de/foesch/neuwied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EA16-FC7E-4B77-9BA3-A4AF8F68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</Template>
  <TotalTime>0</TotalTime>
  <Pages>1</Pages>
  <Words>1783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Kradel-Rübel, Dorothee</dc:creator>
  <cp:lastModifiedBy>egg-heart</cp:lastModifiedBy>
  <cp:revision>4</cp:revision>
  <cp:lastPrinted>2014-08-19T12:22:00Z</cp:lastPrinted>
  <dcterms:created xsi:type="dcterms:W3CDTF">2019-05-07T21:51:00Z</dcterms:created>
  <dcterms:modified xsi:type="dcterms:W3CDTF">2019-05-07T22:06:00Z</dcterms:modified>
</cp:coreProperties>
</file>