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E9" w:rsidRDefault="004A36FD">
      <w:pPr>
        <w:rPr>
          <w:sz w:val="18"/>
        </w:rPr>
      </w:pPr>
      <w:r>
        <w:rPr>
          <w:b/>
          <w:bCs/>
          <w:noProof/>
          <w:sz w:val="20"/>
          <w:u w:val="single"/>
          <w:lang w:eastAsia="de-DE"/>
        </w:rPr>
        <mc:AlternateContent>
          <mc:Choice Requires="wps">
            <w:drawing>
              <wp:anchor distT="0" distB="0" distL="114300" distR="114300" simplePos="0" relativeHeight="251657728" behindDoc="0" locked="0" layoutInCell="1" allowOverlap="1">
                <wp:simplePos x="0" y="0"/>
                <wp:positionH relativeFrom="column">
                  <wp:posOffset>4459605</wp:posOffset>
                </wp:positionH>
                <wp:positionV relativeFrom="paragraph">
                  <wp:posOffset>-277495</wp:posOffset>
                </wp:positionV>
                <wp:extent cx="1617345" cy="228600"/>
                <wp:effectExtent l="7620" t="13970" r="1333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28600"/>
                        </a:xfrm>
                        <a:prstGeom prst="rect">
                          <a:avLst/>
                        </a:prstGeom>
                        <a:solidFill>
                          <a:srgbClr val="EAEAEA"/>
                        </a:solidFill>
                        <a:ln w="9525">
                          <a:solidFill>
                            <a:srgbClr val="000000"/>
                          </a:solidFill>
                          <a:miter lim="800000"/>
                          <a:headEnd/>
                          <a:tailEnd/>
                        </a:ln>
                      </wps:spPr>
                      <wps:txbx>
                        <w:txbxContent>
                          <w:p w:rsidR="00EA4CB6" w:rsidRDefault="00EA4CB6">
                            <w:pPr>
                              <w:jc w:val="center"/>
                              <w:rPr>
                                <w:b/>
                                <w:bCs/>
                                <w:i/>
                                <w:iCs/>
                                <w:sz w:val="20"/>
                              </w:rPr>
                            </w:pPr>
                            <w:r>
                              <w:rPr>
                                <w:b/>
                                <w:bCs/>
                                <w:i/>
                                <w:iCs/>
                                <w:sz w:val="20"/>
                              </w:rPr>
                              <w:t>zurück an die ADD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1.15pt;margin-top:-21.85pt;width:127.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lFLQIAAFAEAAAOAAAAZHJzL2Uyb0RvYy54bWysVNtu2zAMfR+wfxD0vtjxkjQ14hRZ2g4D&#10;ugvQ7gNkWY6FSaImKbG7rx8lp5mx7WmYDQiiSR2R55De3AxakZNwXoKp6HyWUyIMh0aaQ0W/Pt2/&#10;WVPiAzMNU2BERZ+Fpzfb1682vS1FAR2oRjiCIMaXva1oF4Its8zzTmjmZ2CFQWcLTrOApjtkjWM9&#10;omuVFXm+ynpwjXXAhff49XZ00m3Cb1vBw+e29SIQVVHMLaTVpbWOa7bdsPLgmO0kP6fB/iELzaTB&#10;Sy9QtywwcnTyDygtuQMPbZhx0Bm0reQi1YDVzPPfqnnsmBWpFiTH2wtN/v/B8k+nL47IBrWjxDCN&#10;Ej2JIZB3MJBVZKe3vsSgR4thYcDPMTJW6u0D8G+eGNh3zBzEzjnoO8EazG4eT2aToyOOjyB1/xEa&#10;vIYdAySgoXU6AiIZBNFRpeeLMjEVHq9cza/eLpaUcPQVxXqVJ+kyVr6cts6H9wI0iZuKOlQ+obPT&#10;gw8xG1a+hKTsQcnmXiqVDHeo98qRE8MuudvFNxWARU7DlCF9Ra+XxXIkYOrzU4g8PX+D0DJguyup&#10;K7q+BLEy0nZnmtSMgUk17jFlZc48RupGEsNQD2ddamiekVEHY1vjGOKmA/eDkh5buqL++5E5QYn6&#10;YFCV6/liEWcgGYvlVYGGm3rqqYcZjlAVDZSM230Y5+ZonTx0eNPYBwZ2qGQrE8lR8jGrc97Yton7&#10;84jFuZjaKerXj2D7EwAA//8DAFBLAwQUAAYACAAAACEAAFgZeOAAAAAKAQAADwAAAGRycy9kb3du&#10;cmV2LnhtbEyPy07DMBBF90j8gzVI7FqHBHAb4lSABLSs+voANxmSQDwOsdukf8+wguXMHN05N1uM&#10;thUn7H3jSMPNNAKBVLiyoUrDfvcymYHwwVBpWkeo4YweFvnlRWbS0g20wdM2VIJDyKdGQx1Cl0rp&#10;ixqt8VPXIfHtw/XWBB77Spa9GTjctjKOontpTUP8oTYdPtdYfG2PVsMqTtbL5es42Pe9mT29fX+u&#10;z6ud1tdX4+MDiIBj+IPhV5/VIWengztS6UWrQUVxwqiGyW2iQDAxv1Pc7sAbpUDmmfxfIf8BAAD/&#10;/wMAUEsBAi0AFAAGAAgAAAAhALaDOJL+AAAA4QEAABMAAAAAAAAAAAAAAAAAAAAAAFtDb250ZW50&#10;X1R5cGVzXS54bWxQSwECLQAUAAYACAAAACEAOP0h/9YAAACUAQAACwAAAAAAAAAAAAAAAAAvAQAA&#10;X3JlbHMvLnJlbHNQSwECLQAUAAYACAAAACEAKdD5RS0CAABQBAAADgAAAAAAAAAAAAAAAAAuAgAA&#10;ZHJzL2Uyb0RvYy54bWxQSwECLQAUAAYACAAAACEAAFgZeOAAAAAKAQAADwAAAAAAAAAAAAAAAACH&#10;BAAAZHJzL2Rvd25yZXYueG1sUEsFBgAAAAAEAAQA8wAAAJQFAAAAAA==&#10;" fillcolor="#eaeaea">
                <v:textbox>
                  <w:txbxContent>
                    <w:p w:rsidR="00EA4CB6" w:rsidRDefault="00EA4CB6">
                      <w:pPr>
                        <w:jc w:val="center"/>
                        <w:rPr>
                          <w:b/>
                          <w:bCs/>
                          <w:i/>
                          <w:iCs/>
                          <w:sz w:val="20"/>
                        </w:rPr>
                      </w:pPr>
                      <w:r>
                        <w:rPr>
                          <w:b/>
                          <w:bCs/>
                          <w:i/>
                          <w:iCs/>
                          <w:sz w:val="20"/>
                        </w:rPr>
                        <w:t>zurück an die ADD</w:t>
                      </w:r>
                    </w:p>
                  </w:txbxContent>
                </v:textbox>
              </v:shape>
            </w:pict>
          </mc:Fallback>
        </mc:AlternateContent>
      </w:r>
    </w:p>
    <w:p w:rsidR="00981CE9" w:rsidRDefault="00981CE9">
      <w:pPr>
        <w:jc w:val="right"/>
        <w:rPr>
          <w:b/>
          <w:bCs/>
          <w:sz w:val="20"/>
          <w:u w:val="single"/>
        </w:rPr>
      </w:pPr>
      <w:bookmarkStart w:id="0" w:name="Bezeichnung"/>
      <w:bookmarkEnd w:id="0"/>
      <w:r>
        <w:rPr>
          <w:b/>
          <w:bCs/>
          <w:u w:val="single"/>
        </w:rPr>
        <w:t>Nur für den Dienstgebrauch</w:t>
      </w:r>
    </w:p>
    <w:p w:rsidR="00981CE9" w:rsidRDefault="00981CE9">
      <w:pPr>
        <w:jc w:val="right"/>
        <w:rPr>
          <w:b/>
          <w:bCs/>
          <w:sz w:val="20"/>
          <w:u w:val="single"/>
        </w:rPr>
      </w:pPr>
    </w:p>
    <w:p w:rsidR="00981CE9" w:rsidRDefault="00981CE9">
      <w:pPr>
        <w:jc w:val="right"/>
        <w:rPr>
          <w:b/>
          <w:bCs/>
          <w:sz w:val="20"/>
          <w:u w:val="single"/>
        </w:rPr>
      </w:pPr>
    </w:p>
    <w:p w:rsidR="00981CE9" w:rsidRDefault="00981CE9">
      <w:pPr>
        <w:pStyle w:val="berschrift2"/>
      </w:pPr>
      <w:r>
        <w:t>ERKLÄRUNG</w:t>
      </w:r>
    </w:p>
    <w:p w:rsidR="00981CE9" w:rsidRDefault="00981CE9">
      <w:pPr>
        <w:rPr>
          <w:b/>
          <w:bCs/>
          <w:sz w:val="20"/>
          <w:u w:val="single"/>
        </w:rPr>
      </w:pPr>
    </w:p>
    <w:p w:rsidR="00981CE9" w:rsidRDefault="00981CE9">
      <w:pPr>
        <w:rPr>
          <w:sz w:val="22"/>
          <w:szCs w:val="22"/>
        </w:rPr>
      </w:pPr>
      <w:r>
        <w:rPr>
          <w:sz w:val="22"/>
          <w:szCs w:val="22"/>
        </w:rPr>
        <w:t>Allgemeine Hinweise zu Artikel 1 (Landesbesoldungsgesetz -</w:t>
      </w:r>
      <w:proofErr w:type="spellStart"/>
      <w:r>
        <w:rPr>
          <w:sz w:val="22"/>
          <w:szCs w:val="22"/>
        </w:rPr>
        <w:t>LBesG</w:t>
      </w:r>
      <w:proofErr w:type="spellEnd"/>
      <w:r>
        <w:rPr>
          <w:sz w:val="22"/>
          <w:szCs w:val="22"/>
        </w:rPr>
        <w:t>-);</w:t>
      </w:r>
    </w:p>
    <w:p w:rsidR="00981CE9" w:rsidRDefault="00981CE9">
      <w:pPr>
        <w:rPr>
          <w:sz w:val="22"/>
          <w:szCs w:val="22"/>
        </w:rPr>
      </w:pPr>
      <w:r>
        <w:rPr>
          <w:sz w:val="22"/>
          <w:szCs w:val="22"/>
        </w:rPr>
        <w:t xml:space="preserve">hier: Kürzung der Anwärterbezüge gemäß § 62 </w:t>
      </w:r>
      <w:proofErr w:type="spellStart"/>
      <w:r>
        <w:rPr>
          <w:sz w:val="22"/>
          <w:szCs w:val="22"/>
        </w:rPr>
        <w:t>LBesG</w:t>
      </w:r>
      <w:proofErr w:type="spellEnd"/>
    </w:p>
    <w:p w:rsidR="00981CE9" w:rsidRDefault="00981CE9">
      <w:pPr>
        <w:rPr>
          <w:sz w:val="22"/>
          <w:szCs w:val="22"/>
        </w:rPr>
      </w:pPr>
    </w:p>
    <w:p w:rsidR="00981CE9" w:rsidRDefault="00981CE9">
      <w:pPr>
        <w:rPr>
          <w:sz w:val="22"/>
          <w:szCs w:val="22"/>
        </w:rPr>
      </w:pPr>
    </w:p>
    <w:p w:rsidR="00981CE9" w:rsidRDefault="00981CE9">
      <w:pPr>
        <w:rPr>
          <w:sz w:val="22"/>
          <w:szCs w:val="22"/>
        </w:rPr>
      </w:pPr>
      <w:r>
        <w:rPr>
          <w:sz w:val="22"/>
          <w:szCs w:val="22"/>
        </w:rPr>
        <w:t xml:space="preserve">§ 62 </w:t>
      </w:r>
      <w:proofErr w:type="spellStart"/>
      <w:r>
        <w:rPr>
          <w:sz w:val="22"/>
          <w:szCs w:val="22"/>
        </w:rPr>
        <w:t>LBesG</w:t>
      </w:r>
      <w:proofErr w:type="spellEnd"/>
      <w:r>
        <w:rPr>
          <w:sz w:val="22"/>
          <w:szCs w:val="22"/>
        </w:rPr>
        <w:t xml:space="preserve"> lautet:</w:t>
      </w:r>
    </w:p>
    <w:p w:rsidR="00981CE9" w:rsidRDefault="00981CE9">
      <w:pPr>
        <w:rPr>
          <w:sz w:val="20"/>
        </w:rPr>
      </w:pPr>
    </w:p>
    <w:p w:rsidR="00981CE9" w:rsidRDefault="00981CE9">
      <w:pPr>
        <w:rPr>
          <w:sz w:val="16"/>
        </w:rPr>
      </w:pPr>
      <w:r>
        <w:rPr>
          <w:sz w:val="16"/>
        </w:rPr>
        <w:t>Kürzung der Anwärterbezüge</w:t>
      </w:r>
    </w:p>
    <w:p w:rsidR="00981CE9" w:rsidRDefault="00981CE9">
      <w:pPr>
        <w:rPr>
          <w:sz w:val="16"/>
        </w:rPr>
      </w:pPr>
    </w:p>
    <w:p w:rsidR="00981CE9" w:rsidRDefault="00981CE9">
      <w:pPr>
        <w:rPr>
          <w:sz w:val="16"/>
        </w:rPr>
      </w:pPr>
      <w:r>
        <w:rPr>
          <w:sz w:val="16"/>
        </w:rPr>
        <w:t>(1)</w:t>
      </w:r>
      <w:r>
        <w:rPr>
          <w:sz w:val="16"/>
        </w:rPr>
        <w:tab/>
        <w:t>Die oberste Dienstbehörde oder die von ihr bestimmte Stelle kann den Anwärtergrundbetrag bis auf 30 v.H.</w:t>
      </w:r>
    </w:p>
    <w:p w:rsidR="00981CE9" w:rsidRDefault="00981CE9">
      <w:pPr>
        <w:ind w:left="705"/>
        <w:rPr>
          <w:sz w:val="16"/>
        </w:rPr>
      </w:pPr>
      <w:r>
        <w:rPr>
          <w:sz w:val="16"/>
        </w:rPr>
        <w:t>des Grundgehaltes, das einer Beamtin oder einem Beamten im entsprechenden Einstiegsamt in der ersten Stufe zusteht, herabsetzen, wenn die Anwärterin oder der Anwärter die vorgeschriebene Laufbahnprüfung nicht bestanden hat oder sich die Ausbildung aus einem von der Anwärterin oder von dem Anwärter zu vertretenen Grunde verzögert.</w:t>
      </w:r>
    </w:p>
    <w:p w:rsidR="00981CE9" w:rsidRDefault="00981CE9">
      <w:pPr>
        <w:rPr>
          <w:sz w:val="16"/>
        </w:rPr>
      </w:pPr>
    </w:p>
    <w:p w:rsidR="00981CE9" w:rsidRDefault="00981CE9">
      <w:pPr>
        <w:rPr>
          <w:sz w:val="16"/>
        </w:rPr>
      </w:pPr>
      <w:r>
        <w:rPr>
          <w:sz w:val="16"/>
        </w:rPr>
        <w:t>(2)</w:t>
      </w:r>
      <w:r>
        <w:rPr>
          <w:sz w:val="16"/>
        </w:rPr>
        <w:tab/>
        <w:t>Von der Kürzung ist abzusehen</w:t>
      </w:r>
    </w:p>
    <w:p w:rsidR="00981CE9" w:rsidRDefault="00981CE9" w:rsidP="00ED51C7">
      <w:pPr>
        <w:numPr>
          <w:ilvl w:val="0"/>
          <w:numId w:val="32"/>
        </w:numPr>
        <w:rPr>
          <w:sz w:val="16"/>
        </w:rPr>
      </w:pPr>
      <w:r>
        <w:rPr>
          <w:sz w:val="16"/>
        </w:rPr>
        <w:t>bei Verlängerung des Vorbereitungsdienstes infolge genehmigten Fernbleibens oder Rücktritt von der Prüfung,</w:t>
      </w:r>
    </w:p>
    <w:p w:rsidR="00981CE9" w:rsidRDefault="00981CE9" w:rsidP="00ED51C7">
      <w:pPr>
        <w:numPr>
          <w:ilvl w:val="0"/>
          <w:numId w:val="32"/>
        </w:numPr>
        <w:rPr>
          <w:sz w:val="16"/>
        </w:rPr>
      </w:pPr>
      <w:r>
        <w:rPr>
          <w:sz w:val="16"/>
        </w:rPr>
        <w:t>in besonderen Härtefällen.</w:t>
      </w:r>
    </w:p>
    <w:p w:rsidR="00981CE9" w:rsidRDefault="00981CE9">
      <w:pPr>
        <w:rPr>
          <w:sz w:val="16"/>
        </w:rPr>
      </w:pPr>
    </w:p>
    <w:p w:rsidR="00981CE9" w:rsidRDefault="00981CE9">
      <w:pPr>
        <w:rPr>
          <w:sz w:val="16"/>
        </w:rPr>
      </w:pPr>
      <w:r>
        <w:rPr>
          <w:sz w:val="16"/>
        </w:rPr>
        <w:t>(3)</w:t>
      </w:r>
      <w:r>
        <w:rPr>
          <w:sz w:val="16"/>
        </w:rPr>
        <w:tab/>
        <w:t>Wird eine Zwischenprüfung nicht bestanden oder ein sonstiger Leistungsnachweis nicht erbracht, so ist die Kürzung</w:t>
      </w:r>
    </w:p>
    <w:p w:rsidR="00981CE9" w:rsidRDefault="00981CE9">
      <w:r>
        <w:rPr>
          <w:sz w:val="16"/>
        </w:rPr>
        <w:tab/>
        <w:t>auf den sich darauf ergebenden Zeitraum der Verlängerung des Vorbereitungsdienstes zu beschränken.</w:t>
      </w:r>
    </w:p>
    <w:p w:rsidR="00981CE9" w:rsidRDefault="00981CE9">
      <w:pPr>
        <w:rPr>
          <w:sz w:val="20"/>
        </w:rPr>
      </w:pPr>
    </w:p>
    <w:p w:rsidR="00981CE9" w:rsidRDefault="00981CE9">
      <w:pPr>
        <w:rPr>
          <w:sz w:val="20"/>
        </w:rPr>
      </w:pPr>
    </w:p>
    <w:p w:rsidR="00981CE9" w:rsidRDefault="00981CE9">
      <w:pPr>
        <w:rPr>
          <w:sz w:val="22"/>
          <w:szCs w:val="22"/>
        </w:rPr>
      </w:pPr>
      <w:r>
        <w:rPr>
          <w:sz w:val="22"/>
          <w:szCs w:val="22"/>
        </w:rPr>
        <w:t>Hierzu wird auf die Allgemeinen Hinwiese Landesbesoldungsgesetz vom 18.06.2013 (</w:t>
      </w:r>
      <w:proofErr w:type="spellStart"/>
      <w:r>
        <w:rPr>
          <w:sz w:val="22"/>
          <w:szCs w:val="22"/>
        </w:rPr>
        <w:t>GVBl.S</w:t>
      </w:r>
      <w:proofErr w:type="spellEnd"/>
      <w:r>
        <w:rPr>
          <w:sz w:val="22"/>
          <w:szCs w:val="22"/>
        </w:rPr>
        <w:t>: 157), die im unteren Teil dieser Erklärung abgedruckt ist, verwiesen.</w:t>
      </w:r>
    </w:p>
    <w:p w:rsidR="00981CE9" w:rsidRDefault="00981CE9">
      <w:pPr>
        <w:rPr>
          <w:sz w:val="22"/>
          <w:szCs w:val="22"/>
        </w:rPr>
      </w:pPr>
    </w:p>
    <w:p w:rsidR="00981CE9" w:rsidRDefault="00981CE9">
      <w:pPr>
        <w:rPr>
          <w:sz w:val="22"/>
          <w:szCs w:val="22"/>
        </w:rPr>
      </w:pPr>
      <w:r>
        <w:rPr>
          <w:sz w:val="22"/>
          <w:szCs w:val="22"/>
        </w:rPr>
        <w:t xml:space="preserve">Mir ist bekannt, dass eine Kürzung meiner Anwärterbezüge in Betracht kommt, wenn sich wegen der in der allgemeinen Verwaltungsvorschrift zu § 62 </w:t>
      </w:r>
      <w:proofErr w:type="spellStart"/>
      <w:r>
        <w:rPr>
          <w:sz w:val="22"/>
          <w:szCs w:val="22"/>
        </w:rPr>
        <w:t>LBesG</w:t>
      </w:r>
      <w:proofErr w:type="spellEnd"/>
      <w:r>
        <w:rPr>
          <w:sz w:val="22"/>
          <w:szCs w:val="22"/>
        </w:rPr>
        <w:t xml:space="preserve"> näher bezeichneten Tatbestände der Vorbereitungsdienst verlängert.</w:t>
      </w:r>
      <w:bookmarkStart w:id="1" w:name="_GoBack"/>
      <w:bookmarkEnd w:id="1"/>
    </w:p>
    <w:p w:rsidR="00981CE9" w:rsidRDefault="00981CE9">
      <w:pPr>
        <w:rPr>
          <w:sz w:val="22"/>
          <w:szCs w:val="22"/>
        </w:rPr>
      </w:pPr>
    </w:p>
    <w:p w:rsidR="00981CE9" w:rsidRDefault="00981CE9">
      <w:pPr>
        <w:rPr>
          <w:sz w:val="22"/>
          <w:szCs w:val="22"/>
        </w:rPr>
      </w:pPr>
    </w:p>
    <w:tbl>
      <w:tblPr>
        <w:tblW w:w="0" w:type="auto"/>
        <w:tblLook w:val="04A0" w:firstRow="1" w:lastRow="0" w:firstColumn="1" w:lastColumn="0" w:noHBand="0" w:noVBand="1"/>
      </w:tblPr>
      <w:tblGrid>
        <w:gridCol w:w="2745"/>
        <w:gridCol w:w="2868"/>
        <w:gridCol w:w="567"/>
        <w:gridCol w:w="2268"/>
      </w:tblGrid>
      <w:tr w:rsidR="0077029A" w:rsidRPr="00656EE7" w:rsidTr="00656EE7">
        <w:trPr>
          <w:trHeight w:val="510"/>
        </w:trPr>
        <w:tc>
          <w:tcPr>
            <w:tcW w:w="2745" w:type="dxa"/>
            <w:tcBorders>
              <w:bottom w:val="single" w:sz="8" w:space="0" w:color="auto"/>
            </w:tcBorders>
            <w:shd w:val="clear" w:color="auto" w:fill="auto"/>
            <w:vAlign w:val="center"/>
          </w:tcPr>
          <w:p w:rsidR="0077029A" w:rsidRPr="00656EE7" w:rsidRDefault="0077029A" w:rsidP="00656EE7">
            <w:pPr>
              <w:tabs>
                <w:tab w:val="left" w:pos="480"/>
                <w:tab w:val="left" w:pos="5880"/>
              </w:tabs>
              <w:overflowPunct w:val="0"/>
              <w:autoSpaceDE w:val="0"/>
              <w:autoSpaceDN w:val="0"/>
              <w:adjustRightInd w:val="0"/>
              <w:spacing w:line="240" w:lineRule="exact"/>
              <w:jc w:val="both"/>
              <w:textAlignment w:val="baseline"/>
              <w:rPr>
                <w:i/>
                <w:sz w:val="22"/>
                <w:szCs w:val="22"/>
              </w:rPr>
            </w:pPr>
            <w:r w:rsidRPr="00656EE7">
              <w:rPr>
                <w:i/>
                <w:sz w:val="22"/>
                <w:szCs w:val="22"/>
              </w:rPr>
              <w:t xml:space="preserve">Koblenz, </w:t>
            </w:r>
          </w:p>
        </w:tc>
        <w:tc>
          <w:tcPr>
            <w:tcW w:w="2868" w:type="dxa"/>
            <w:tcBorders>
              <w:bottom w:val="single" w:sz="8" w:space="0" w:color="auto"/>
            </w:tcBorders>
            <w:shd w:val="clear" w:color="auto" w:fill="auto"/>
            <w:vAlign w:val="center"/>
          </w:tcPr>
          <w:p w:rsidR="0077029A" w:rsidRPr="00656EE7" w:rsidRDefault="0077029A" w:rsidP="00656EE7">
            <w:pPr>
              <w:tabs>
                <w:tab w:val="left" w:pos="480"/>
                <w:tab w:val="left" w:pos="5880"/>
              </w:tabs>
              <w:overflowPunct w:val="0"/>
              <w:autoSpaceDE w:val="0"/>
              <w:autoSpaceDN w:val="0"/>
              <w:adjustRightInd w:val="0"/>
              <w:spacing w:line="240" w:lineRule="exact"/>
              <w:jc w:val="both"/>
              <w:textAlignment w:val="baseline"/>
              <w:rPr>
                <w:i/>
                <w:sz w:val="22"/>
                <w:szCs w:val="22"/>
              </w:rPr>
            </w:pPr>
          </w:p>
        </w:tc>
        <w:tc>
          <w:tcPr>
            <w:tcW w:w="567" w:type="dxa"/>
            <w:shd w:val="clear" w:color="auto" w:fill="auto"/>
            <w:vAlign w:val="center"/>
          </w:tcPr>
          <w:p w:rsidR="0077029A" w:rsidRPr="00656EE7" w:rsidRDefault="0077029A" w:rsidP="00656EE7">
            <w:pPr>
              <w:tabs>
                <w:tab w:val="left" w:pos="480"/>
                <w:tab w:val="left" w:pos="5880"/>
              </w:tabs>
              <w:overflowPunct w:val="0"/>
              <w:autoSpaceDE w:val="0"/>
              <w:autoSpaceDN w:val="0"/>
              <w:adjustRightInd w:val="0"/>
              <w:spacing w:line="240" w:lineRule="exact"/>
              <w:jc w:val="both"/>
              <w:textAlignment w:val="baseline"/>
              <w:rPr>
                <w:sz w:val="22"/>
                <w:szCs w:val="22"/>
              </w:rPr>
            </w:pPr>
          </w:p>
        </w:tc>
        <w:tc>
          <w:tcPr>
            <w:tcW w:w="2268" w:type="dxa"/>
            <w:tcBorders>
              <w:bottom w:val="single" w:sz="8" w:space="0" w:color="auto"/>
            </w:tcBorders>
            <w:shd w:val="clear" w:color="auto" w:fill="auto"/>
            <w:vAlign w:val="center"/>
          </w:tcPr>
          <w:p w:rsidR="0077029A" w:rsidRPr="00656EE7" w:rsidRDefault="0077029A" w:rsidP="00656EE7">
            <w:pPr>
              <w:tabs>
                <w:tab w:val="left" w:pos="480"/>
                <w:tab w:val="left" w:pos="5880"/>
              </w:tabs>
              <w:overflowPunct w:val="0"/>
              <w:autoSpaceDE w:val="0"/>
              <w:autoSpaceDN w:val="0"/>
              <w:adjustRightInd w:val="0"/>
              <w:spacing w:line="240" w:lineRule="exact"/>
              <w:jc w:val="both"/>
              <w:textAlignment w:val="baseline"/>
              <w:rPr>
                <w:sz w:val="22"/>
                <w:szCs w:val="22"/>
              </w:rPr>
            </w:pPr>
          </w:p>
        </w:tc>
      </w:tr>
      <w:tr w:rsidR="0077029A" w:rsidRPr="00656EE7" w:rsidTr="00656EE7">
        <w:trPr>
          <w:trHeight w:val="340"/>
        </w:trPr>
        <w:tc>
          <w:tcPr>
            <w:tcW w:w="2745" w:type="dxa"/>
            <w:tcBorders>
              <w:top w:val="single" w:sz="8" w:space="0" w:color="auto"/>
            </w:tcBorders>
            <w:shd w:val="clear" w:color="auto" w:fill="auto"/>
          </w:tcPr>
          <w:p w:rsidR="0077029A" w:rsidRPr="00656EE7" w:rsidRDefault="0077029A" w:rsidP="00656EE7">
            <w:pPr>
              <w:tabs>
                <w:tab w:val="left" w:pos="480"/>
                <w:tab w:val="left" w:pos="5880"/>
              </w:tabs>
              <w:overflowPunct w:val="0"/>
              <w:autoSpaceDE w:val="0"/>
              <w:autoSpaceDN w:val="0"/>
              <w:adjustRightInd w:val="0"/>
              <w:spacing w:line="240" w:lineRule="exact"/>
              <w:jc w:val="both"/>
              <w:textAlignment w:val="baseline"/>
              <w:rPr>
                <w:sz w:val="22"/>
                <w:szCs w:val="22"/>
              </w:rPr>
            </w:pPr>
            <w:r w:rsidRPr="00656EE7">
              <w:rPr>
                <w:sz w:val="22"/>
                <w:szCs w:val="22"/>
              </w:rPr>
              <w:t xml:space="preserve">Ort, Datum </w:t>
            </w:r>
          </w:p>
        </w:tc>
        <w:tc>
          <w:tcPr>
            <w:tcW w:w="2868" w:type="dxa"/>
            <w:tcBorders>
              <w:top w:val="single" w:sz="8" w:space="0" w:color="auto"/>
            </w:tcBorders>
            <w:shd w:val="clear" w:color="auto" w:fill="auto"/>
          </w:tcPr>
          <w:p w:rsidR="0077029A" w:rsidRPr="00656EE7" w:rsidRDefault="0077029A" w:rsidP="00656EE7">
            <w:pPr>
              <w:tabs>
                <w:tab w:val="left" w:pos="480"/>
                <w:tab w:val="left" w:pos="5880"/>
              </w:tabs>
              <w:overflowPunct w:val="0"/>
              <w:autoSpaceDE w:val="0"/>
              <w:autoSpaceDN w:val="0"/>
              <w:adjustRightInd w:val="0"/>
              <w:spacing w:line="240" w:lineRule="exact"/>
              <w:jc w:val="both"/>
              <w:textAlignment w:val="baseline"/>
              <w:rPr>
                <w:sz w:val="22"/>
                <w:szCs w:val="22"/>
              </w:rPr>
            </w:pPr>
            <w:r w:rsidRPr="00656EE7">
              <w:rPr>
                <w:sz w:val="22"/>
                <w:szCs w:val="22"/>
              </w:rPr>
              <w:t>Name</w:t>
            </w:r>
          </w:p>
        </w:tc>
        <w:tc>
          <w:tcPr>
            <w:tcW w:w="567" w:type="dxa"/>
            <w:shd w:val="clear" w:color="auto" w:fill="auto"/>
          </w:tcPr>
          <w:p w:rsidR="0077029A" w:rsidRPr="00656EE7" w:rsidRDefault="0077029A" w:rsidP="00656EE7">
            <w:pPr>
              <w:tabs>
                <w:tab w:val="left" w:pos="480"/>
                <w:tab w:val="left" w:pos="5880"/>
              </w:tabs>
              <w:overflowPunct w:val="0"/>
              <w:autoSpaceDE w:val="0"/>
              <w:autoSpaceDN w:val="0"/>
              <w:adjustRightInd w:val="0"/>
              <w:spacing w:line="240" w:lineRule="exact"/>
              <w:jc w:val="both"/>
              <w:textAlignment w:val="baseline"/>
              <w:rPr>
                <w:sz w:val="22"/>
                <w:szCs w:val="22"/>
              </w:rPr>
            </w:pPr>
          </w:p>
        </w:tc>
        <w:tc>
          <w:tcPr>
            <w:tcW w:w="2268" w:type="dxa"/>
            <w:tcBorders>
              <w:top w:val="single" w:sz="8" w:space="0" w:color="auto"/>
            </w:tcBorders>
            <w:shd w:val="clear" w:color="auto" w:fill="auto"/>
          </w:tcPr>
          <w:p w:rsidR="0077029A" w:rsidRPr="00656EE7" w:rsidRDefault="0077029A" w:rsidP="00656EE7">
            <w:pPr>
              <w:tabs>
                <w:tab w:val="left" w:pos="480"/>
                <w:tab w:val="left" w:pos="5880"/>
              </w:tabs>
              <w:overflowPunct w:val="0"/>
              <w:autoSpaceDE w:val="0"/>
              <w:autoSpaceDN w:val="0"/>
              <w:adjustRightInd w:val="0"/>
              <w:spacing w:line="240" w:lineRule="exact"/>
              <w:jc w:val="both"/>
              <w:textAlignment w:val="baseline"/>
              <w:rPr>
                <w:sz w:val="22"/>
                <w:szCs w:val="22"/>
              </w:rPr>
            </w:pPr>
            <w:r w:rsidRPr="00656EE7">
              <w:rPr>
                <w:sz w:val="22"/>
                <w:szCs w:val="22"/>
              </w:rPr>
              <w:t xml:space="preserve"> (Unterschrift)</w:t>
            </w:r>
          </w:p>
        </w:tc>
      </w:tr>
    </w:tbl>
    <w:p w:rsidR="00981CE9" w:rsidRDefault="00981CE9">
      <w:pPr>
        <w:rPr>
          <w:sz w:val="20"/>
        </w:rPr>
      </w:pPr>
    </w:p>
    <w:p w:rsidR="00981CE9" w:rsidRDefault="00981CE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4"/>
        <w:gridCol w:w="4775"/>
      </w:tblGrid>
      <w:tr w:rsidR="00981CE9">
        <w:tc>
          <w:tcPr>
            <w:tcW w:w="5030" w:type="dxa"/>
          </w:tcPr>
          <w:p w:rsidR="00981CE9" w:rsidRDefault="00981CE9">
            <w:pPr>
              <w:rPr>
                <w:sz w:val="12"/>
              </w:rPr>
            </w:pPr>
            <w:r>
              <w:rPr>
                <w:sz w:val="12"/>
              </w:rPr>
              <w:t>62.           Zu § 62</w:t>
            </w:r>
          </w:p>
          <w:p w:rsidR="00981CE9" w:rsidRDefault="00981CE9">
            <w:pPr>
              <w:rPr>
                <w:sz w:val="12"/>
              </w:rPr>
            </w:pPr>
          </w:p>
          <w:p w:rsidR="00981CE9" w:rsidRDefault="00981CE9">
            <w:pPr>
              <w:rPr>
                <w:sz w:val="12"/>
              </w:rPr>
            </w:pPr>
            <w:r>
              <w:rPr>
                <w:sz w:val="12"/>
              </w:rPr>
              <w:t>62.1         Zu Absatz 1</w:t>
            </w:r>
          </w:p>
          <w:p w:rsidR="00981CE9" w:rsidRDefault="00981CE9">
            <w:pPr>
              <w:rPr>
                <w:sz w:val="12"/>
              </w:rPr>
            </w:pPr>
          </w:p>
          <w:p w:rsidR="00981CE9" w:rsidRDefault="00981CE9">
            <w:pPr>
              <w:rPr>
                <w:sz w:val="12"/>
              </w:rPr>
            </w:pPr>
            <w:r>
              <w:rPr>
                <w:sz w:val="12"/>
              </w:rPr>
              <w:t>62.1.1      Auf die mögliche Kürzung der Anwärterbezüge sind die Anwärter spätestens bei</w:t>
            </w:r>
          </w:p>
          <w:p w:rsidR="00981CE9" w:rsidRDefault="00981CE9">
            <w:pPr>
              <w:rPr>
                <w:sz w:val="12"/>
              </w:rPr>
            </w:pPr>
            <w:r>
              <w:rPr>
                <w:sz w:val="12"/>
              </w:rPr>
              <w:t xml:space="preserve">                Beginn des Vorbereitungsdienstes hinzuweisen.</w:t>
            </w:r>
          </w:p>
          <w:p w:rsidR="00981CE9" w:rsidRDefault="00981CE9">
            <w:pPr>
              <w:rPr>
                <w:sz w:val="12"/>
              </w:rPr>
            </w:pPr>
          </w:p>
          <w:p w:rsidR="00981CE9" w:rsidRDefault="00981CE9">
            <w:pPr>
              <w:rPr>
                <w:sz w:val="12"/>
              </w:rPr>
            </w:pPr>
            <w:r>
              <w:rPr>
                <w:sz w:val="12"/>
              </w:rPr>
              <w:t xml:space="preserve">62.1.2      Sofern nicht nach § 62 Abs. 2 von einer Kürzung abzusehen ist, soll der </w:t>
            </w:r>
          </w:p>
          <w:p w:rsidR="00981CE9" w:rsidRDefault="00981CE9">
            <w:pPr>
              <w:rPr>
                <w:sz w:val="12"/>
              </w:rPr>
            </w:pPr>
            <w:r>
              <w:rPr>
                <w:sz w:val="12"/>
              </w:rPr>
              <w:t xml:space="preserve">                Anwärtergrundbetrag in der Regel gekürzt werden um</w:t>
            </w:r>
          </w:p>
          <w:p w:rsidR="00981CE9" w:rsidRDefault="00981CE9">
            <w:pPr>
              <w:rPr>
                <w:sz w:val="12"/>
              </w:rPr>
            </w:pPr>
          </w:p>
          <w:p w:rsidR="00981CE9" w:rsidRDefault="00981CE9">
            <w:pPr>
              <w:rPr>
                <w:sz w:val="12"/>
              </w:rPr>
            </w:pPr>
            <w:r>
              <w:rPr>
                <w:sz w:val="12"/>
              </w:rPr>
              <w:t xml:space="preserve">               15 v.H., wenn der Anwärter</w:t>
            </w:r>
          </w:p>
          <w:p w:rsidR="00981CE9" w:rsidRDefault="00981CE9">
            <w:pPr>
              <w:rPr>
                <w:sz w:val="12"/>
              </w:rPr>
            </w:pPr>
            <w:r>
              <w:rPr>
                <w:sz w:val="12"/>
              </w:rPr>
              <w:t xml:space="preserve">                -  die vorgeschriebene Laufbahnprüfung oder eine Zwischenprüfung nicht</w:t>
            </w:r>
          </w:p>
          <w:p w:rsidR="00981CE9" w:rsidRDefault="00981CE9">
            <w:pPr>
              <w:rPr>
                <w:sz w:val="12"/>
              </w:rPr>
            </w:pPr>
            <w:r>
              <w:rPr>
                <w:sz w:val="12"/>
              </w:rPr>
              <w:t xml:space="preserve">                     bestanden hat,</w:t>
            </w:r>
          </w:p>
          <w:p w:rsidR="00981CE9" w:rsidRDefault="00981CE9">
            <w:pPr>
              <w:rPr>
                <w:sz w:val="12"/>
              </w:rPr>
            </w:pPr>
            <w:r>
              <w:rPr>
                <w:sz w:val="12"/>
              </w:rPr>
              <w:t xml:space="preserve">                -  ohne Genehmigung einer solchen Prüfung ferngeblieben ist oder</w:t>
            </w:r>
          </w:p>
          <w:p w:rsidR="00981CE9" w:rsidRDefault="00981CE9">
            <w:pPr>
              <w:rPr>
                <w:sz w:val="12"/>
              </w:rPr>
            </w:pPr>
            <w:r>
              <w:rPr>
                <w:sz w:val="12"/>
              </w:rPr>
              <w:t xml:space="preserve">                -  aus Gründen</w:t>
            </w:r>
            <w:r>
              <w:rPr>
                <w:sz w:val="16"/>
              </w:rPr>
              <w:t xml:space="preserve">, </w:t>
            </w:r>
            <w:r>
              <w:rPr>
                <w:sz w:val="12"/>
              </w:rPr>
              <w:t>die er zu vertreten hat</w:t>
            </w:r>
          </w:p>
          <w:p w:rsidR="00981CE9" w:rsidRDefault="00981CE9" w:rsidP="00ED51C7">
            <w:pPr>
              <w:numPr>
                <w:ilvl w:val="0"/>
                <w:numId w:val="33"/>
              </w:numPr>
              <w:rPr>
                <w:sz w:val="12"/>
              </w:rPr>
            </w:pPr>
            <w:r>
              <w:rPr>
                <w:sz w:val="12"/>
              </w:rPr>
              <w:t>das Ziel eines Ausbildungsabschnitts nicht erreicht hat,</w:t>
            </w:r>
          </w:p>
          <w:p w:rsidR="00981CE9" w:rsidRDefault="00981CE9" w:rsidP="00ED51C7">
            <w:pPr>
              <w:numPr>
                <w:ilvl w:val="0"/>
                <w:numId w:val="33"/>
              </w:numPr>
              <w:rPr>
                <w:sz w:val="12"/>
              </w:rPr>
            </w:pPr>
            <w:r>
              <w:rPr>
                <w:sz w:val="12"/>
              </w:rPr>
              <w:t>einen Ausbildungsabschnitt unterbrochen hat, oder</w:t>
            </w:r>
          </w:p>
          <w:p w:rsidR="00981CE9" w:rsidRDefault="00981CE9" w:rsidP="00ED51C7">
            <w:pPr>
              <w:numPr>
                <w:ilvl w:val="0"/>
                <w:numId w:val="33"/>
              </w:numPr>
              <w:rPr>
                <w:sz w:val="12"/>
              </w:rPr>
            </w:pPr>
            <w:r>
              <w:rPr>
                <w:sz w:val="12"/>
              </w:rPr>
              <w:t>nicht zur Laufbahnprüfung zugelassen worden ist.</w:t>
            </w:r>
          </w:p>
          <w:p w:rsidR="00981CE9" w:rsidRDefault="00981CE9">
            <w:pPr>
              <w:rPr>
                <w:sz w:val="12"/>
              </w:rPr>
            </w:pPr>
          </w:p>
          <w:p w:rsidR="00981CE9" w:rsidRDefault="00981CE9">
            <w:pPr>
              <w:rPr>
                <w:sz w:val="12"/>
              </w:rPr>
            </w:pPr>
            <w:r>
              <w:rPr>
                <w:sz w:val="12"/>
              </w:rPr>
              <w:t xml:space="preserve">                30 v.H., wenn der Anwärter wegen eines Täuschungsversuchs oder eines</w:t>
            </w:r>
          </w:p>
          <w:p w:rsidR="00981CE9" w:rsidRDefault="00981CE9">
            <w:pPr>
              <w:rPr>
                <w:sz w:val="12"/>
              </w:rPr>
            </w:pPr>
            <w:r>
              <w:rPr>
                <w:sz w:val="12"/>
              </w:rPr>
              <w:t xml:space="preserve">                Ordnungsverstoßes von der Laufbahnprüfung ausgeschlossen worden ist.</w:t>
            </w:r>
          </w:p>
          <w:p w:rsidR="00981CE9" w:rsidRDefault="00981CE9">
            <w:pPr>
              <w:rPr>
                <w:sz w:val="12"/>
              </w:rPr>
            </w:pPr>
          </w:p>
          <w:p w:rsidR="00981CE9" w:rsidRDefault="00981CE9">
            <w:pPr>
              <w:rPr>
                <w:sz w:val="12"/>
              </w:rPr>
            </w:pPr>
            <w:r>
              <w:rPr>
                <w:sz w:val="12"/>
              </w:rPr>
              <w:t>62.1.3      Eine Kürzung kommt nur in Betracht, wenn sich wegen der in Nummer</w:t>
            </w:r>
          </w:p>
          <w:p w:rsidR="00981CE9" w:rsidRDefault="00981CE9">
            <w:pPr>
              <w:rPr>
                <w:sz w:val="12"/>
              </w:rPr>
            </w:pPr>
            <w:r>
              <w:rPr>
                <w:sz w:val="12"/>
              </w:rPr>
              <w:t xml:space="preserve">                62.1.2. genannten Tatbestände der Vorbereitungsdienst </w:t>
            </w:r>
          </w:p>
          <w:p w:rsidR="00981CE9" w:rsidRDefault="00981CE9">
            <w:pPr>
              <w:rPr>
                <w:sz w:val="12"/>
              </w:rPr>
            </w:pPr>
            <w:r>
              <w:rPr>
                <w:sz w:val="12"/>
              </w:rPr>
              <w:t xml:space="preserve">                verlängert.</w:t>
            </w:r>
          </w:p>
          <w:p w:rsidR="00981CE9" w:rsidRDefault="00981CE9">
            <w:pPr>
              <w:rPr>
                <w:sz w:val="12"/>
              </w:rPr>
            </w:pPr>
          </w:p>
          <w:p w:rsidR="00981CE9" w:rsidRDefault="00981CE9">
            <w:pPr>
              <w:rPr>
                <w:sz w:val="12"/>
              </w:rPr>
            </w:pPr>
            <w:r>
              <w:rPr>
                <w:sz w:val="12"/>
              </w:rPr>
              <w:t xml:space="preserve">62.1.4.     Nicht von dem Anwärter zu vertreten im Sinne von Nummer 62.1.2.1 sind </w:t>
            </w:r>
          </w:p>
          <w:p w:rsidR="00981CE9" w:rsidRDefault="00981CE9">
            <w:pPr>
              <w:rPr>
                <w:sz w:val="12"/>
              </w:rPr>
            </w:pPr>
            <w:r>
              <w:rPr>
                <w:sz w:val="12"/>
              </w:rPr>
              <w:t xml:space="preserve">                insbesondere</w:t>
            </w:r>
          </w:p>
          <w:p w:rsidR="00981CE9" w:rsidRDefault="00981CE9">
            <w:pPr>
              <w:rPr>
                <w:sz w:val="12"/>
              </w:rPr>
            </w:pPr>
            <w:r>
              <w:rPr>
                <w:sz w:val="12"/>
              </w:rPr>
              <w:t xml:space="preserve">                -  Krankheit</w:t>
            </w:r>
          </w:p>
          <w:p w:rsidR="00981CE9" w:rsidRDefault="00981CE9">
            <w:pPr>
              <w:rPr>
                <w:sz w:val="12"/>
              </w:rPr>
            </w:pPr>
            <w:r>
              <w:rPr>
                <w:sz w:val="12"/>
              </w:rPr>
              <w:t xml:space="preserve">                -  Zeiten eines Beschäftigungsverbotes nach den §§ 1 und 3 Abs. 1, sowie</w:t>
            </w:r>
          </w:p>
          <w:p w:rsidR="00981CE9" w:rsidRDefault="00981CE9">
            <w:pPr>
              <w:rPr>
                <w:sz w:val="12"/>
              </w:rPr>
            </w:pPr>
          </w:p>
        </w:tc>
        <w:tc>
          <w:tcPr>
            <w:tcW w:w="5031" w:type="dxa"/>
          </w:tcPr>
          <w:p w:rsidR="00981CE9" w:rsidRDefault="00981CE9">
            <w:pPr>
              <w:rPr>
                <w:sz w:val="12"/>
              </w:rPr>
            </w:pPr>
            <w:r>
              <w:rPr>
                <w:sz w:val="16"/>
              </w:rPr>
              <w:t xml:space="preserve">           -  </w:t>
            </w:r>
            <w:r>
              <w:rPr>
                <w:sz w:val="12"/>
              </w:rPr>
              <w:t>Zeiten eines Mutterschaftsurlaubs nach der Verordnung über den Mutter-</w:t>
            </w:r>
          </w:p>
          <w:p w:rsidR="00981CE9" w:rsidRDefault="00981CE9">
            <w:pPr>
              <w:rPr>
                <w:sz w:val="12"/>
              </w:rPr>
            </w:pPr>
            <w:r>
              <w:rPr>
                <w:sz w:val="12"/>
              </w:rPr>
              <w:t xml:space="preserve">                  </w:t>
            </w:r>
            <w:proofErr w:type="spellStart"/>
            <w:r>
              <w:rPr>
                <w:sz w:val="12"/>
              </w:rPr>
              <w:t>schutz</w:t>
            </w:r>
            <w:proofErr w:type="spellEnd"/>
            <w:r>
              <w:rPr>
                <w:sz w:val="12"/>
              </w:rPr>
              <w:t xml:space="preserve"> für Beamtinnen oder entsprechender landesrechtlicher Regelungen,</w:t>
            </w:r>
          </w:p>
          <w:p w:rsidR="00981CE9" w:rsidRDefault="00981CE9">
            <w:pPr>
              <w:rPr>
                <w:sz w:val="12"/>
              </w:rPr>
            </w:pPr>
            <w:r>
              <w:rPr>
                <w:sz w:val="12"/>
              </w:rPr>
              <w:t xml:space="preserve">               -  Ableistung des Grundwehr- und Zivildienstes,</w:t>
            </w:r>
          </w:p>
          <w:p w:rsidR="00981CE9" w:rsidRDefault="00981CE9">
            <w:pPr>
              <w:rPr>
                <w:sz w:val="12"/>
              </w:rPr>
            </w:pPr>
            <w:r>
              <w:rPr>
                <w:sz w:val="12"/>
              </w:rPr>
              <w:t xml:space="preserve">               -  Freistellung für bestimmte staatsbürgerliche Aufgaben,</w:t>
            </w:r>
          </w:p>
          <w:p w:rsidR="00981CE9" w:rsidRDefault="00981CE9">
            <w:pPr>
              <w:rPr>
                <w:sz w:val="12"/>
              </w:rPr>
            </w:pPr>
            <w:r>
              <w:rPr>
                <w:sz w:val="12"/>
              </w:rPr>
              <w:t xml:space="preserve">               -  Sonderurlaub aus zwingenden Gründen.</w:t>
            </w:r>
          </w:p>
          <w:p w:rsidR="00981CE9" w:rsidRDefault="00981CE9">
            <w:pPr>
              <w:rPr>
                <w:sz w:val="12"/>
              </w:rPr>
            </w:pPr>
          </w:p>
          <w:p w:rsidR="00981CE9" w:rsidRDefault="00981CE9">
            <w:pPr>
              <w:rPr>
                <w:sz w:val="12"/>
              </w:rPr>
            </w:pPr>
            <w:r>
              <w:rPr>
                <w:sz w:val="12"/>
              </w:rPr>
              <w:t>62.1.5     Der Zeitraum der Kürzung der Anwärterbezüge beginnt mit dem Ersten des</w:t>
            </w:r>
          </w:p>
          <w:p w:rsidR="00981CE9" w:rsidRDefault="00981CE9">
            <w:pPr>
              <w:rPr>
                <w:sz w:val="12"/>
              </w:rPr>
            </w:pPr>
            <w:r>
              <w:rPr>
                <w:sz w:val="12"/>
              </w:rPr>
              <w:t xml:space="preserve">               Monats, der auf den Monat folgt, in den das für die Kürzung maßgebende</w:t>
            </w:r>
          </w:p>
          <w:p w:rsidR="00981CE9" w:rsidRDefault="00981CE9">
            <w:pPr>
              <w:rPr>
                <w:sz w:val="12"/>
              </w:rPr>
            </w:pPr>
            <w:r>
              <w:rPr>
                <w:sz w:val="12"/>
              </w:rPr>
              <w:t xml:space="preserve">               Ereignis fällt. Er darf nicht länger sein als der Zeitraum, um den sich der</w:t>
            </w:r>
          </w:p>
          <w:p w:rsidR="00981CE9" w:rsidRDefault="00981CE9">
            <w:pPr>
              <w:rPr>
                <w:sz w:val="12"/>
              </w:rPr>
            </w:pPr>
            <w:r>
              <w:rPr>
                <w:sz w:val="12"/>
              </w:rPr>
              <w:t xml:space="preserve">               Vorbereitungsdienst verlängert.</w:t>
            </w:r>
          </w:p>
          <w:p w:rsidR="00981CE9" w:rsidRDefault="00981CE9">
            <w:pPr>
              <w:rPr>
                <w:sz w:val="12"/>
              </w:rPr>
            </w:pPr>
          </w:p>
          <w:p w:rsidR="00981CE9" w:rsidRDefault="00981CE9">
            <w:pPr>
              <w:rPr>
                <w:sz w:val="12"/>
              </w:rPr>
            </w:pPr>
            <w:r>
              <w:rPr>
                <w:sz w:val="12"/>
              </w:rPr>
              <w:t>62.1.6     Von einer Kürzung ist abzusehen, wenn und soweit die herabgesetzten</w:t>
            </w:r>
          </w:p>
          <w:p w:rsidR="00981CE9" w:rsidRDefault="00981CE9">
            <w:pPr>
              <w:rPr>
                <w:sz w:val="12"/>
              </w:rPr>
            </w:pPr>
            <w:r>
              <w:rPr>
                <w:sz w:val="12"/>
              </w:rPr>
              <w:t xml:space="preserve">               Anwärterbezüge hinter dem Betrag von 383,47 EUR zurückbleiben würden. Der</w:t>
            </w:r>
          </w:p>
          <w:p w:rsidR="00981CE9" w:rsidRDefault="00981CE9">
            <w:pPr>
              <w:rPr>
                <w:sz w:val="12"/>
              </w:rPr>
            </w:pPr>
            <w:r>
              <w:rPr>
                <w:sz w:val="12"/>
              </w:rPr>
              <w:t xml:space="preserve">               </w:t>
            </w:r>
            <w:proofErr w:type="spellStart"/>
            <w:r>
              <w:rPr>
                <w:sz w:val="12"/>
              </w:rPr>
              <w:t>Anwärterverheiratetenzuschlag</w:t>
            </w:r>
            <w:proofErr w:type="spellEnd"/>
            <w:r>
              <w:rPr>
                <w:sz w:val="12"/>
              </w:rPr>
              <w:t xml:space="preserve"> bleibt unberührt.</w:t>
            </w:r>
          </w:p>
          <w:p w:rsidR="00981CE9" w:rsidRDefault="00981CE9">
            <w:pPr>
              <w:rPr>
                <w:sz w:val="12"/>
              </w:rPr>
            </w:pPr>
          </w:p>
          <w:p w:rsidR="00981CE9" w:rsidRDefault="00981CE9">
            <w:pPr>
              <w:rPr>
                <w:sz w:val="12"/>
              </w:rPr>
            </w:pPr>
            <w:r>
              <w:rPr>
                <w:sz w:val="12"/>
              </w:rPr>
              <w:t>62.2        Zu Absatz 2</w:t>
            </w:r>
          </w:p>
          <w:p w:rsidR="00981CE9" w:rsidRDefault="00981CE9">
            <w:pPr>
              <w:rPr>
                <w:sz w:val="12"/>
              </w:rPr>
            </w:pPr>
          </w:p>
          <w:p w:rsidR="00981CE9" w:rsidRDefault="00981CE9">
            <w:pPr>
              <w:rPr>
                <w:sz w:val="12"/>
              </w:rPr>
            </w:pPr>
            <w:r>
              <w:rPr>
                <w:sz w:val="12"/>
              </w:rPr>
              <w:t xml:space="preserve">               Über die Anerkennung besonderer Härtefälle, in denen von einer Kürzung </w:t>
            </w:r>
          </w:p>
          <w:p w:rsidR="00981CE9" w:rsidRDefault="00981CE9">
            <w:pPr>
              <w:rPr>
                <w:sz w:val="12"/>
              </w:rPr>
            </w:pPr>
            <w:r>
              <w:rPr>
                <w:sz w:val="12"/>
              </w:rPr>
              <w:t xml:space="preserve">               abzusehen ist, entscheidet im Rahmen des pflichtgemäßen Ermessens </w:t>
            </w:r>
          </w:p>
          <w:p w:rsidR="00981CE9" w:rsidRDefault="00981CE9">
            <w:pPr>
              <w:rPr>
                <w:sz w:val="12"/>
              </w:rPr>
            </w:pPr>
            <w:r>
              <w:rPr>
                <w:sz w:val="12"/>
              </w:rPr>
              <w:t xml:space="preserve">               (§ 40 VwVfG oder entsprechendes Landesrecht) die oberste Dienstbehörde</w:t>
            </w:r>
          </w:p>
          <w:p w:rsidR="00981CE9" w:rsidRDefault="00981CE9">
            <w:pPr>
              <w:rPr>
                <w:sz w:val="12"/>
              </w:rPr>
            </w:pPr>
            <w:r>
              <w:rPr>
                <w:sz w:val="12"/>
              </w:rPr>
              <w:t xml:space="preserve">               oder die von ihr bestimmte Stelle.</w:t>
            </w:r>
          </w:p>
          <w:p w:rsidR="00981CE9" w:rsidRDefault="00981CE9">
            <w:pPr>
              <w:rPr>
                <w:sz w:val="12"/>
              </w:rPr>
            </w:pPr>
          </w:p>
          <w:p w:rsidR="00981CE9" w:rsidRDefault="00981CE9">
            <w:pPr>
              <w:rPr>
                <w:sz w:val="12"/>
              </w:rPr>
            </w:pPr>
            <w:r>
              <w:rPr>
                <w:sz w:val="12"/>
              </w:rPr>
              <w:t>62.3        Zu Absatz 3</w:t>
            </w:r>
          </w:p>
          <w:p w:rsidR="00981CE9" w:rsidRDefault="00981CE9">
            <w:pPr>
              <w:rPr>
                <w:sz w:val="12"/>
              </w:rPr>
            </w:pPr>
          </w:p>
          <w:p w:rsidR="00981CE9" w:rsidRDefault="00981CE9">
            <w:pPr>
              <w:rPr>
                <w:sz w:val="12"/>
              </w:rPr>
            </w:pPr>
            <w:r>
              <w:rPr>
                <w:sz w:val="12"/>
              </w:rPr>
              <w:t xml:space="preserve">               Nummer 62.1.5 gilt entsprechend.</w:t>
            </w:r>
          </w:p>
        </w:tc>
      </w:tr>
    </w:tbl>
    <w:p w:rsidR="00981CE9" w:rsidRDefault="00981CE9">
      <w:pPr>
        <w:rPr>
          <w:sz w:val="4"/>
        </w:rPr>
      </w:pPr>
    </w:p>
    <w:p w:rsidR="00981CE9" w:rsidRDefault="00981CE9">
      <w:pPr>
        <w:tabs>
          <w:tab w:val="left" w:pos="1440"/>
          <w:tab w:val="left" w:pos="5880"/>
        </w:tabs>
        <w:rPr>
          <w:sz w:val="4"/>
        </w:rPr>
      </w:pPr>
    </w:p>
    <w:p w:rsidR="000D4D29" w:rsidRDefault="000D4D29" w:rsidP="00CF6520">
      <w:pPr>
        <w:pStyle w:val="berschrift1"/>
        <w:rPr>
          <w:sz w:val="20"/>
          <w:szCs w:val="20"/>
        </w:rPr>
      </w:pPr>
    </w:p>
    <w:sectPr w:rsidR="000D4D29" w:rsidSect="001E7EF9">
      <w:footerReference w:type="default" r:id="rId7"/>
      <w:footerReference w:type="first" r:id="rId8"/>
      <w:type w:val="continuous"/>
      <w:pgSz w:w="11907" w:h="16840" w:code="9"/>
      <w:pgMar w:top="1134" w:right="1134" w:bottom="1134" w:left="1134" w:header="720" w:footer="752" w:gutter="0"/>
      <w:pgNumType w:start="1"/>
      <w:cols w:space="567"/>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E7" w:rsidRDefault="00656EE7">
      <w:r>
        <w:separator/>
      </w:r>
    </w:p>
  </w:endnote>
  <w:endnote w:type="continuationSeparator" w:id="0">
    <w:p w:rsidR="00656EE7" w:rsidRDefault="0065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IX Barcode">
    <w:altName w:val="Courier New"/>
    <w:charset w:val="00"/>
    <w:family w:val="swiss"/>
    <w:pitch w:val="variable"/>
    <w:sig w:usb0="00000003" w:usb1="00000000" w:usb2="00000000" w:usb3="00000000" w:csb0="00000001" w:csb1="00000000"/>
  </w:font>
  <w:font w:name="Garrison Sans">
    <w:altName w:val="Courier Ne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6" w:rsidRDefault="00EA4CB6">
    <w:pPr>
      <w:pStyle w:val="DokuName"/>
      <w:jc w:val="center"/>
      <w:rPr>
        <w:sz w:val="18"/>
      </w:rPr>
    </w:pPr>
    <w:r>
      <w:rPr>
        <w:snapToGrid w:val="0"/>
        <w:sz w:val="18"/>
      </w:rPr>
      <w:t>–</w:t>
    </w:r>
    <w:r>
      <w:rPr>
        <w:rStyle w:val="Seitenzahl"/>
        <w:noProof w:val="0"/>
        <w:sz w:val="18"/>
      </w:rPr>
      <w:t xml:space="preserve"> </w:t>
    </w:r>
    <w:r>
      <w:rPr>
        <w:rStyle w:val="Seitenzahl"/>
        <w:noProof w:val="0"/>
        <w:sz w:val="18"/>
      </w:rPr>
      <w:fldChar w:fldCharType="begin"/>
    </w:r>
    <w:r>
      <w:rPr>
        <w:rStyle w:val="Seitenzahl"/>
        <w:noProof w:val="0"/>
        <w:sz w:val="18"/>
      </w:rPr>
      <w:instrText xml:space="preserve"> PAGE </w:instrText>
    </w:r>
    <w:r>
      <w:rPr>
        <w:rStyle w:val="Seitenzahl"/>
        <w:noProof w:val="0"/>
        <w:sz w:val="18"/>
      </w:rPr>
      <w:fldChar w:fldCharType="separate"/>
    </w:r>
    <w:r w:rsidR="00985F62">
      <w:rPr>
        <w:rStyle w:val="Seitenzahl"/>
        <w:sz w:val="18"/>
      </w:rPr>
      <w:t>2</w:t>
    </w:r>
    <w:r>
      <w:rPr>
        <w:rStyle w:val="Seitenzahl"/>
        <w:noProof w:val="0"/>
        <w:sz w:val="18"/>
      </w:rPr>
      <w:fldChar w:fldCharType="end"/>
    </w:r>
    <w:r>
      <w:rPr>
        <w:rStyle w:val="Seitenzahl"/>
        <w:noProof w:val="0"/>
        <w:sz w:val="18"/>
      </w:rPr>
      <w:t xml:space="preserve"> </w:t>
    </w:r>
    <w:r>
      <w:rPr>
        <w:snapToGrid w:val="0"/>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B6" w:rsidRDefault="00EA4CB6">
    <w:pPr>
      <w:pStyle w:val="DokuName"/>
      <w:tabs>
        <w:tab w:val="center" w:pos="4820"/>
      </w:tabs>
      <w:rPr>
        <w:sz w:val="18"/>
      </w:rPr>
    </w:pPr>
    <w:r>
      <w:rPr>
        <w:sz w:val="18"/>
      </w:rPr>
      <w:tab/>
    </w:r>
    <w:r>
      <w:rPr>
        <w:snapToGrid w:val="0"/>
        <w:sz w:val="18"/>
      </w:rPr>
      <w:t xml:space="preserve">– </w:t>
    </w:r>
    <w:r>
      <w:rPr>
        <w:snapToGrid w:val="0"/>
        <w:sz w:val="18"/>
      </w:rPr>
      <w:fldChar w:fldCharType="begin"/>
    </w:r>
    <w:r>
      <w:rPr>
        <w:snapToGrid w:val="0"/>
        <w:sz w:val="18"/>
      </w:rPr>
      <w:instrText xml:space="preserve"> PAGE </w:instrText>
    </w:r>
    <w:r>
      <w:rPr>
        <w:snapToGrid w:val="0"/>
        <w:sz w:val="18"/>
      </w:rPr>
      <w:fldChar w:fldCharType="separate"/>
    </w:r>
    <w:r w:rsidR="007B15F7">
      <w:rPr>
        <w:snapToGrid w:val="0"/>
        <w:sz w:val="18"/>
      </w:rPr>
      <w:t>1</w:t>
    </w:r>
    <w:r>
      <w:rPr>
        <w:snapToGrid w:val="0"/>
        <w:sz w:val="18"/>
      </w:rPr>
      <w:fldChar w:fldCharType="end"/>
    </w:r>
    <w:r>
      <w:rPr>
        <w:snapToGrid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E7" w:rsidRDefault="00656EE7">
      <w:r>
        <w:separator/>
      </w:r>
    </w:p>
  </w:footnote>
  <w:footnote w:type="continuationSeparator" w:id="0">
    <w:p w:rsidR="00656EE7" w:rsidRDefault="0065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B44BBE"/>
    <w:lvl w:ilvl="0" w:tplc="8B22076A">
      <w:start w:val="1"/>
      <w:numFmt w:val="decimal"/>
      <w:pStyle w:val="ITPnumberedlist3"/>
      <w:lvlText w:val="%1."/>
      <w:lvlJc w:val="left"/>
      <w:pPr>
        <w:tabs>
          <w:tab w:val="num" w:pos="1727"/>
        </w:tabs>
        <w:ind w:left="1727"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000003"/>
    <w:multiLevelType w:val="hybridMultilevel"/>
    <w:tmpl w:val="732AA622"/>
    <w:lvl w:ilvl="0" w:tplc="08DE7058">
      <w:start w:val="1"/>
      <w:numFmt w:val="bullet"/>
      <w:pStyle w:val="ITPbulletlist3"/>
      <w:lvlText w:val=""/>
      <w:lvlJc w:val="left"/>
      <w:pPr>
        <w:tabs>
          <w:tab w:val="num" w:pos="1840"/>
        </w:tabs>
        <w:ind w:left="1840" w:hanging="360"/>
      </w:pPr>
      <w:rPr>
        <w:rFonts w:ascii="Wingdings" w:hAnsi="Wingdings" w:hint="default"/>
      </w:rPr>
    </w:lvl>
    <w:lvl w:ilvl="1" w:tplc="AD7E3850">
      <w:start w:val="1"/>
      <w:numFmt w:val="bullet"/>
      <w:pStyle w:val="ITPbulletlist2"/>
      <w:lvlText w:val="o"/>
      <w:lvlJc w:val="left"/>
      <w:pPr>
        <w:tabs>
          <w:tab w:val="num" w:pos="1440"/>
        </w:tabs>
        <w:ind w:left="1440" w:hanging="360"/>
      </w:pPr>
      <w:rPr>
        <w:rFonts w:ascii="Courier New" w:hAnsi="Courier New" w:hint="default"/>
      </w:rPr>
    </w:lvl>
    <w:lvl w:ilvl="2" w:tplc="3F561810">
      <w:start w:val="1"/>
      <w:numFmt w:val="bullet"/>
      <w:pStyle w:val="ITPbulletlis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7"/>
    <w:multiLevelType w:val="hybridMultilevel"/>
    <w:tmpl w:val="A9D4DD5A"/>
    <w:lvl w:ilvl="0" w:tplc="90626AEE">
      <w:start w:val="1"/>
      <w:numFmt w:val="decimal"/>
      <w:pStyle w:val="ITPnumberedlist2"/>
      <w:lvlText w:val="%1."/>
      <w:lvlJc w:val="left"/>
      <w:pPr>
        <w:tabs>
          <w:tab w:val="num" w:pos="1336"/>
        </w:tabs>
        <w:ind w:left="1336" w:hanging="48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000008"/>
    <w:multiLevelType w:val="hybridMultilevel"/>
    <w:tmpl w:val="1F7C188E"/>
    <w:lvl w:ilvl="0" w:tplc="4694EA84">
      <w:start w:val="1"/>
      <w:numFmt w:val="decimal"/>
      <w:pStyle w:val="ITPnumberedlist1"/>
      <w:lvlText w:val="%1."/>
      <w:lvlJc w:val="left"/>
      <w:pPr>
        <w:tabs>
          <w:tab w:val="num" w:pos="936"/>
        </w:tabs>
        <w:ind w:left="936" w:hanging="429"/>
      </w:pPr>
      <w:rPr>
        <w:rFonts w:hint="default"/>
      </w:rPr>
    </w:lvl>
    <w:lvl w:ilvl="1" w:tplc="7B944518">
      <w:start w:val="1"/>
      <w:numFmt w:val="decimal"/>
      <w:lvlText w:val="%2."/>
      <w:lvlJc w:val="left"/>
      <w:pPr>
        <w:tabs>
          <w:tab w:val="num" w:pos="1440"/>
        </w:tabs>
        <w:ind w:left="1023" w:firstLine="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0000009"/>
    <w:multiLevelType w:val="hybridMultilevel"/>
    <w:tmpl w:val="BB66AF48"/>
    <w:lvl w:ilvl="0" w:tplc="124C48C4">
      <w:start w:val="1"/>
      <w:numFmt w:val="decimal"/>
      <w:pStyle w:val="ITPnumberedlist"/>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000000A"/>
    <w:multiLevelType w:val="hybridMultilevel"/>
    <w:tmpl w:val="E6ACD2F2"/>
    <w:lvl w:ilvl="0" w:tplc="9A28951A">
      <w:start w:val="1"/>
      <w:numFmt w:val="bullet"/>
      <w:pStyle w:val="ITPbulletlist"/>
      <w:lvlText w:val=""/>
      <w:lvlJc w:val="left"/>
      <w:pPr>
        <w:tabs>
          <w:tab w:val="num" w:pos="397"/>
        </w:tabs>
        <w:ind w:left="397" w:hanging="397"/>
      </w:pPr>
      <w:rPr>
        <w:rFonts w:ascii="Symbol" w:hAnsi="Symbol" w:hint="default"/>
      </w:rPr>
    </w:lvl>
    <w:lvl w:ilvl="1" w:tplc="7856FF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32"/>
    <w:multiLevelType w:val="singleLevel"/>
    <w:tmpl w:val="3ACE6886"/>
    <w:lvl w:ilvl="0">
      <w:start w:val="1"/>
      <w:numFmt w:val="bullet"/>
      <w:lvlText w:val=""/>
      <w:lvlJc w:val="left"/>
      <w:pPr>
        <w:tabs>
          <w:tab w:val="num" w:pos="644"/>
        </w:tabs>
        <w:ind w:left="340" w:hanging="56"/>
      </w:pPr>
      <w:rPr>
        <w:rFonts w:ascii="Symbol" w:hAnsi="Symbol" w:hint="default"/>
      </w:rPr>
    </w:lvl>
  </w:abstractNum>
  <w:abstractNum w:abstractNumId="7" w15:restartNumberingAfterBreak="0">
    <w:nsid w:val="000000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3D"/>
    <w:multiLevelType w:val="hybridMultilevel"/>
    <w:tmpl w:val="AB14A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0000040"/>
    <w:multiLevelType w:val="hybridMultilevel"/>
    <w:tmpl w:val="0E4487E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00000043"/>
    <w:multiLevelType w:val="hybridMultilevel"/>
    <w:tmpl w:val="B280503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0000046"/>
    <w:multiLevelType w:val="hybridMultilevel"/>
    <w:tmpl w:val="10A03AE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00000047"/>
    <w:multiLevelType w:val="hybridMultilevel"/>
    <w:tmpl w:val="BBAAE810"/>
    <w:lvl w:ilvl="0" w:tplc="0407000F">
      <w:start w:val="1"/>
      <w:numFmt w:val="decimal"/>
      <w:lvlText w:val="%1."/>
      <w:lvlJc w:val="left"/>
      <w:pPr>
        <w:tabs>
          <w:tab w:val="num" w:pos="360"/>
        </w:tabs>
        <w:ind w:left="360" w:hanging="360"/>
      </w:pPr>
      <w:rPr>
        <w:rFonts w:hint="default"/>
      </w:rPr>
    </w:lvl>
    <w:lvl w:ilvl="1" w:tplc="3BF243A6">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00000049"/>
    <w:multiLevelType w:val="hybridMultilevel"/>
    <w:tmpl w:val="5D18F23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0000004E"/>
    <w:multiLevelType w:val="hybridMultilevel"/>
    <w:tmpl w:val="DD2A4E4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0000004F"/>
    <w:multiLevelType w:val="hybridMultilevel"/>
    <w:tmpl w:val="59E0496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00000055"/>
    <w:multiLevelType w:val="hybridMultilevel"/>
    <w:tmpl w:val="896A34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00000057"/>
    <w:multiLevelType w:val="hybridMultilevel"/>
    <w:tmpl w:val="EA0085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0000005A"/>
    <w:multiLevelType w:val="hybridMultilevel"/>
    <w:tmpl w:val="89807784"/>
    <w:lvl w:ilvl="0" w:tplc="0407000F">
      <w:start w:val="1"/>
      <w:numFmt w:val="decimal"/>
      <w:lvlText w:val="%1."/>
      <w:lvlJc w:val="left"/>
      <w:pPr>
        <w:tabs>
          <w:tab w:val="num" w:pos="360"/>
        </w:tabs>
        <w:ind w:left="360" w:hanging="360"/>
      </w:pPr>
      <w:rPr>
        <w:rFonts w:hint="default"/>
      </w:rPr>
    </w:lvl>
    <w:lvl w:ilvl="1" w:tplc="7B3C448A">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0000005B"/>
    <w:multiLevelType w:val="hybridMultilevel"/>
    <w:tmpl w:val="5002E0C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0000005F"/>
    <w:multiLevelType w:val="hybridMultilevel"/>
    <w:tmpl w:val="C0AE7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00000060"/>
    <w:multiLevelType w:val="hybridMultilevel"/>
    <w:tmpl w:val="82404E8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00000065"/>
    <w:multiLevelType w:val="hybridMultilevel"/>
    <w:tmpl w:val="938AA0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00000069"/>
    <w:multiLevelType w:val="hybridMultilevel"/>
    <w:tmpl w:val="728E326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0000006A"/>
    <w:multiLevelType w:val="hybridMultilevel"/>
    <w:tmpl w:val="BBAAE810"/>
    <w:lvl w:ilvl="0" w:tplc="0407000F">
      <w:start w:val="1"/>
      <w:numFmt w:val="decimal"/>
      <w:lvlText w:val="%1."/>
      <w:lvlJc w:val="left"/>
      <w:pPr>
        <w:tabs>
          <w:tab w:val="num" w:pos="360"/>
        </w:tabs>
        <w:ind w:left="360" w:hanging="360"/>
      </w:pPr>
      <w:rPr>
        <w:rFonts w:hint="default"/>
      </w:rPr>
    </w:lvl>
    <w:lvl w:ilvl="1" w:tplc="3BF243A6">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0000006B"/>
    <w:multiLevelType w:val="hybridMultilevel"/>
    <w:tmpl w:val="0C54341C"/>
    <w:lvl w:ilvl="0" w:tplc="0407000F">
      <w:start w:val="1"/>
      <w:numFmt w:val="decimal"/>
      <w:lvlText w:val="%1."/>
      <w:lvlJc w:val="left"/>
      <w:pPr>
        <w:tabs>
          <w:tab w:val="num" w:pos="360"/>
        </w:tabs>
        <w:ind w:left="360" w:hanging="360"/>
      </w:pPr>
    </w:lvl>
    <w:lvl w:ilvl="1" w:tplc="E84AFBDC">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0000006C"/>
    <w:multiLevelType w:val="hybridMultilevel"/>
    <w:tmpl w:val="B5784C2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0000006D"/>
    <w:multiLevelType w:val="hybridMultilevel"/>
    <w:tmpl w:val="9ADC800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0000006F"/>
    <w:multiLevelType w:val="hybridMultilevel"/>
    <w:tmpl w:val="33AA74B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00000070"/>
    <w:multiLevelType w:val="hybridMultilevel"/>
    <w:tmpl w:val="9E12AB0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00000072"/>
    <w:multiLevelType w:val="hybridMultilevel"/>
    <w:tmpl w:val="6C102BCE"/>
    <w:lvl w:ilvl="0" w:tplc="0407000F">
      <w:start w:val="1"/>
      <w:numFmt w:val="decimal"/>
      <w:lvlText w:val="%1."/>
      <w:lvlJc w:val="left"/>
      <w:pPr>
        <w:tabs>
          <w:tab w:val="num" w:pos="360"/>
        </w:tabs>
        <w:ind w:left="360" w:hanging="360"/>
      </w:pPr>
    </w:lvl>
    <w:lvl w:ilvl="1" w:tplc="E84AFBDC">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00000073"/>
    <w:multiLevelType w:val="hybridMultilevel"/>
    <w:tmpl w:val="00621E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00000074"/>
    <w:multiLevelType w:val="hybridMultilevel"/>
    <w:tmpl w:val="E1F2AF9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00000075"/>
    <w:multiLevelType w:val="hybridMultilevel"/>
    <w:tmpl w:val="640CB4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00000077"/>
    <w:multiLevelType w:val="hybridMultilevel"/>
    <w:tmpl w:val="F744B55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00000079"/>
    <w:multiLevelType w:val="hybridMultilevel"/>
    <w:tmpl w:val="0A08593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0000007B"/>
    <w:multiLevelType w:val="hybridMultilevel"/>
    <w:tmpl w:val="69925D5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00000081"/>
    <w:multiLevelType w:val="hybridMultilevel"/>
    <w:tmpl w:val="71AE857A"/>
    <w:lvl w:ilvl="0" w:tplc="04070001">
      <w:start w:val="1"/>
      <w:numFmt w:val="bullet"/>
      <w:lvlText w:val=""/>
      <w:lvlJc w:val="left"/>
      <w:pPr>
        <w:ind w:left="1420" w:hanging="360"/>
      </w:pPr>
      <w:rPr>
        <w:rFonts w:ascii="Symbol" w:hAnsi="Symbol" w:hint="default"/>
      </w:rPr>
    </w:lvl>
    <w:lvl w:ilvl="1" w:tplc="9EFA882A">
      <w:numFmt w:val="bullet"/>
      <w:lvlText w:val="-"/>
      <w:lvlJc w:val="left"/>
      <w:pPr>
        <w:ind w:left="2140" w:hanging="360"/>
      </w:pPr>
      <w:rPr>
        <w:rFonts w:ascii="Arial" w:eastAsia="Times New Roman" w:hAnsi="Arial" w:cs="Arial"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38" w15:restartNumberingAfterBreak="0">
    <w:nsid w:val="00000082"/>
    <w:multiLevelType w:val="hybridMultilevel"/>
    <w:tmpl w:val="0C78A8CA"/>
    <w:lvl w:ilvl="0" w:tplc="03A88572">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9" w15:restartNumberingAfterBreak="0">
    <w:nsid w:val="0000008F"/>
    <w:multiLevelType w:val="hybridMultilevel"/>
    <w:tmpl w:val="71AE857A"/>
    <w:lvl w:ilvl="0" w:tplc="04070001">
      <w:start w:val="1"/>
      <w:numFmt w:val="bullet"/>
      <w:lvlText w:val=""/>
      <w:lvlJc w:val="left"/>
      <w:pPr>
        <w:ind w:left="1420" w:hanging="360"/>
      </w:pPr>
      <w:rPr>
        <w:rFonts w:ascii="Symbol" w:hAnsi="Symbol" w:hint="default"/>
      </w:rPr>
    </w:lvl>
    <w:lvl w:ilvl="1" w:tplc="9EFA882A">
      <w:numFmt w:val="bullet"/>
      <w:lvlText w:val="-"/>
      <w:lvlJc w:val="left"/>
      <w:pPr>
        <w:ind w:left="2140" w:hanging="360"/>
      </w:pPr>
      <w:rPr>
        <w:rFonts w:ascii="Arial" w:eastAsia="Times New Roman" w:hAnsi="Arial" w:cs="Arial"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40" w15:restartNumberingAfterBreak="0">
    <w:nsid w:val="00000090"/>
    <w:multiLevelType w:val="hybridMultilevel"/>
    <w:tmpl w:val="0C78A8CA"/>
    <w:lvl w:ilvl="0" w:tplc="03A88572">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41" w15:restartNumberingAfterBreak="0">
    <w:nsid w:val="00000098"/>
    <w:multiLevelType w:val="hybridMultilevel"/>
    <w:tmpl w:val="AF6C4FE4"/>
    <w:lvl w:ilvl="0" w:tplc="37ECB0B2">
      <w:start w:val="1"/>
      <w:numFmt w:val="bullet"/>
      <w:lvlText w:val=""/>
      <w:lvlJc w:val="left"/>
      <w:pPr>
        <w:tabs>
          <w:tab w:val="num" w:pos="720"/>
        </w:tabs>
        <w:ind w:left="717" w:hanging="357"/>
      </w:pPr>
      <w:rPr>
        <w:rFonts w:ascii="Symbol" w:hAnsi="Symbol" w:hint="default"/>
      </w:rPr>
    </w:lvl>
    <w:lvl w:ilvl="1" w:tplc="04070001">
      <w:start w:val="1"/>
      <w:numFmt w:val="bullet"/>
      <w:lvlText w:val=""/>
      <w:lvlJc w:val="left"/>
      <w:pPr>
        <w:tabs>
          <w:tab w:val="num" w:pos="1800"/>
        </w:tabs>
        <w:ind w:left="1800" w:hanging="360"/>
      </w:pPr>
      <w:rPr>
        <w:rFonts w:ascii="Symbol" w:hAnsi="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00000099"/>
    <w:multiLevelType w:val="hybridMultilevel"/>
    <w:tmpl w:val="591CEE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000009A"/>
    <w:multiLevelType w:val="hybridMultilevel"/>
    <w:tmpl w:val="C83ACF24"/>
    <w:lvl w:ilvl="0" w:tplc="04070001">
      <w:start w:val="1"/>
      <w:numFmt w:val="bullet"/>
      <w:lvlText w:val=""/>
      <w:lvlJc w:val="left"/>
      <w:pPr>
        <w:tabs>
          <w:tab w:val="num" w:pos="720"/>
        </w:tabs>
        <w:ind w:left="720" w:hanging="360"/>
      </w:pPr>
      <w:rPr>
        <w:rFonts w:ascii="Symbol" w:hAnsi="Symbol" w:hint="default"/>
      </w:rPr>
    </w:lvl>
    <w:lvl w:ilvl="1" w:tplc="5238BD42">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00000A1"/>
    <w:multiLevelType w:val="hybridMultilevel"/>
    <w:tmpl w:val="8D32366C"/>
    <w:lvl w:ilvl="0" w:tplc="3A648F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ambria Math"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Math"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Math"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000000AB"/>
    <w:multiLevelType w:val="hybridMultilevel"/>
    <w:tmpl w:val="5A50005C"/>
    <w:lvl w:ilvl="0" w:tplc="D8F6E5C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000000B7"/>
    <w:multiLevelType w:val="hybridMultilevel"/>
    <w:tmpl w:val="D124D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000000B8"/>
    <w:multiLevelType w:val="hybridMultilevel"/>
    <w:tmpl w:val="A7B44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000000B9"/>
    <w:multiLevelType w:val="hybridMultilevel"/>
    <w:tmpl w:val="3F261A76"/>
    <w:lvl w:ilvl="0" w:tplc="8586D5B6">
      <w:start w:val="1"/>
      <w:numFmt w:val="upperRoman"/>
      <w:pStyle w:val="berschrift9"/>
      <w:lvlText w:val="%1."/>
      <w:lvlJc w:val="right"/>
      <w:pPr>
        <w:tabs>
          <w:tab w:val="num" w:pos="360"/>
        </w:tabs>
        <w:ind w:left="360" w:hanging="180"/>
      </w:pPr>
      <w:rPr>
        <w:rFonts w:hint="default"/>
      </w:rPr>
    </w:lvl>
    <w:lvl w:ilvl="1" w:tplc="04070001">
      <w:start w:val="1"/>
      <w:numFmt w:val="bullet"/>
      <w:lvlText w:val=""/>
      <w:lvlJc w:val="left"/>
      <w:pPr>
        <w:tabs>
          <w:tab w:val="num" w:pos="1620"/>
        </w:tabs>
        <w:ind w:left="1620" w:hanging="360"/>
      </w:pPr>
      <w:rPr>
        <w:rFonts w:ascii="Symbol" w:hAnsi="Symbol" w:hint="default"/>
      </w:r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9" w15:restartNumberingAfterBreak="0">
    <w:nsid w:val="000000C3"/>
    <w:multiLevelType w:val="hybridMultilevel"/>
    <w:tmpl w:val="D5C0CA38"/>
    <w:lvl w:ilvl="0" w:tplc="41AA7C6E">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9EC551F"/>
    <w:multiLevelType w:val="hybridMultilevel"/>
    <w:tmpl w:val="8F0A1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A8A1E66"/>
    <w:multiLevelType w:val="hybridMultilevel"/>
    <w:tmpl w:val="0F84ADF0"/>
    <w:lvl w:ilvl="0" w:tplc="9A28951A">
      <w:start w:val="1"/>
      <w:numFmt w:val="bullet"/>
      <w:lvlText w:val=""/>
      <w:lvlJc w:val="left"/>
      <w:pPr>
        <w:tabs>
          <w:tab w:val="num" w:pos="397"/>
        </w:tabs>
        <w:ind w:left="397" w:hanging="397"/>
      </w:pPr>
      <w:rPr>
        <w:rFonts w:ascii="Symbol" w:hAnsi="Symbol" w:hint="default"/>
      </w:rPr>
    </w:lvl>
    <w:lvl w:ilvl="1" w:tplc="4C829840">
      <w:start w:val="1"/>
      <w:numFmt w:val="bullet"/>
      <w:pStyle w:val="ITPbulletlist1"/>
      <w:lvlText w:val=""/>
      <w:lvlJc w:val="left"/>
      <w:pPr>
        <w:tabs>
          <w:tab w:val="num" w:pos="800"/>
        </w:tabs>
        <w:ind w:left="800" w:hanging="40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20"/>
  </w:num>
  <w:num w:numId="5">
    <w:abstractNumId w:val="10"/>
  </w:num>
  <w:num w:numId="6">
    <w:abstractNumId w:val="9"/>
  </w:num>
  <w:num w:numId="7">
    <w:abstractNumId w:val="13"/>
  </w:num>
  <w:num w:numId="8">
    <w:abstractNumId w:val="14"/>
  </w:num>
  <w:num w:numId="9">
    <w:abstractNumId w:val="22"/>
  </w:num>
  <w:num w:numId="10">
    <w:abstractNumId w:val="21"/>
  </w:num>
  <w:num w:numId="11">
    <w:abstractNumId w:val="19"/>
  </w:num>
  <w:num w:numId="12">
    <w:abstractNumId w:val="11"/>
  </w:num>
  <w:num w:numId="13">
    <w:abstractNumId w:val="17"/>
  </w:num>
  <w:num w:numId="14">
    <w:abstractNumId w:val="12"/>
  </w:num>
  <w:num w:numId="15">
    <w:abstractNumId w:val="16"/>
  </w:num>
  <w:num w:numId="16">
    <w:abstractNumId w:val="18"/>
  </w:num>
  <w:num w:numId="17">
    <w:abstractNumId w:val="15"/>
  </w:num>
  <w:num w:numId="18">
    <w:abstractNumId w:val="26"/>
  </w:num>
  <w:num w:numId="19">
    <w:abstractNumId w:val="33"/>
  </w:num>
  <w:num w:numId="20">
    <w:abstractNumId w:val="27"/>
  </w:num>
  <w:num w:numId="21">
    <w:abstractNumId w:val="29"/>
  </w:num>
  <w:num w:numId="22">
    <w:abstractNumId w:val="32"/>
  </w:num>
  <w:num w:numId="23">
    <w:abstractNumId w:val="34"/>
  </w:num>
  <w:num w:numId="24">
    <w:abstractNumId w:val="28"/>
  </w:num>
  <w:num w:numId="25">
    <w:abstractNumId w:val="23"/>
  </w:num>
  <w:num w:numId="26">
    <w:abstractNumId w:val="31"/>
  </w:num>
  <w:num w:numId="27">
    <w:abstractNumId w:val="35"/>
  </w:num>
  <w:num w:numId="28">
    <w:abstractNumId w:val="25"/>
  </w:num>
  <w:num w:numId="29">
    <w:abstractNumId w:val="24"/>
  </w:num>
  <w:num w:numId="30">
    <w:abstractNumId w:val="30"/>
  </w:num>
  <w:num w:numId="31">
    <w:abstractNumId w:val="36"/>
  </w:num>
  <w:num w:numId="32">
    <w:abstractNumId w:val="38"/>
  </w:num>
  <w:num w:numId="33">
    <w:abstractNumId w:val="37"/>
  </w:num>
  <w:num w:numId="34">
    <w:abstractNumId w:val="40"/>
  </w:num>
  <w:num w:numId="35">
    <w:abstractNumId w:val="39"/>
  </w:num>
  <w:num w:numId="36">
    <w:abstractNumId w:val="45"/>
  </w:num>
  <w:num w:numId="37">
    <w:abstractNumId w:val="47"/>
  </w:num>
  <w:num w:numId="38">
    <w:abstractNumId w:val="44"/>
  </w:num>
  <w:num w:numId="39">
    <w:abstractNumId w:val="43"/>
  </w:num>
  <w:num w:numId="40">
    <w:abstractNumId w:val="42"/>
  </w:num>
  <w:num w:numId="41">
    <w:abstractNumId w:val="46"/>
  </w:num>
  <w:num w:numId="42">
    <w:abstractNumId w:val="41"/>
  </w:num>
  <w:num w:numId="43">
    <w:abstractNumId w:val="49"/>
  </w:num>
  <w:num w:numId="44">
    <w:abstractNumId w:val="48"/>
  </w:num>
  <w:num w:numId="45">
    <w:abstractNumId w:val="4"/>
  </w:num>
  <w:num w:numId="46">
    <w:abstractNumId w:val="3"/>
  </w:num>
  <w:num w:numId="47">
    <w:abstractNumId w:val="5"/>
  </w:num>
  <w:num w:numId="48">
    <w:abstractNumId w:val="51"/>
  </w:num>
  <w:num w:numId="49">
    <w:abstractNumId w:val="2"/>
  </w:num>
  <w:num w:numId="50">
    <w:abstractNumId w:val="0"/>
  </w:num>
  <w:num w:numId="51">
    <w:abstractNumId w:val="1"/>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rawingGridHorizontalSpacing w:val="171"/>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E9"/>
    <w:rsid w:val="000D4D29"/>
    <w:rsid w:val="0018102F"/>
    <w:rsid w:val="001E7EF9"/>
    <w:rsid w:val="003346F3"/>
    <w:rsid w:val="00387DEA"/>
    <w:rsid w:val="004A36FD"/>
    <w:rsid w:val="004C53D2"/>
    <w:rsid w:val="004F2853"/>
    <w:rsid w:val="00656EE7"/>
    <w:rsid w:val="006B22D5"/>
    <w:rsid w:val="0077029A"/>
    <w:rsid w:val="007B15F7"/>
    <w:rsid w:val="00871762"/>
    <w:rsid w:val="00976BE5"/>
    <w:rsid w:val="00981CE9"/>
    <w:rsid w:val="00985F62"/>
    <w:rsid w:val="00B865A8"/>
    <w:rsid w:val="00BB1142"/>
    <w:rsid w:val="00CB5CEC"/>
    <w:rsid w:val="00CF6520"/>
    <w:rsid w:val="00EA313C"/>
    <w:rsid w:val="00EA4CB6"/>
    <w:rsid w:val="00ED5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D35C62A-102C-4A44-852F-2CC19930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en-US"/>
    </w:rPr>
  </w:style>
  <w:style w:type="paragraph" w:styleId="berschrift1">
    <w:name w:val="heading 1"/>
    <w:basedOn w:val="Standard"/>
    <w:next w:val="Standard"/>
    <w:link w:val="berschrift1Zchn"/>
    <w:qFormat/>
    <w:pPr>
      <w:keepNext/>
      <w:spacing w:before="240" w:after="60"/>
      <w:outlineLvl w:val="0"/>
    </w:pPr>
    <w:rPr>
      <w:b/>
      <w:bCs/>
      <w:kern w:val="32"/>
      <w:sz w:val="32"/>
      <w:szCs w:val="32"/>
    </w:rPr>
  </w:style>
  <w:style w:type="paragraph" w:styleId="berschrift2">
    <w:name w:val="heading 2"/>
    <w:basedOn w:val="Standard"/>
    <w:next w:val="Standard"/>
    <w:qFormat/>
    <w:pPr>
      <w:keepNext/>
      <w:tabs>
        <w:tab w:val="left" w:pos="1080"/>
        <w:tab w:val="left" w:pos="2880"/>
        <w:tab w:val="left" w:pos="3840"/>
      </w:tabs>
      <w:overflowPunct w:val="0"/>
      <w:autoSpaceDE w:val="0"/>
      <w:autoSpaceDN w:val="0"/>
      <w:adjustRightInd w:val="0"/>
      <w:spacing w:line="360" w:lineRule="atLeast"/>
      <w:ind w:left="240"/>
      <w:jc w:val="center"/>
      <w:textAlignment w:val="baseline"/>
      <w:outlineLvl w:val="1"/>
    </w:pPr>
    <w:rPr>
      <w:b/>
      <w:sz w:val="22"/>
      <w:szCs w:val="20"/>
      <w:u w:val="single"/>
    </w:rPr>
  </w:style>
  <w:style w:type="paragraph" w:styleId="berschrift3">
    <w:name w:val="heading 3"/>
    <w:basedOn w:val="Standard"/>
    <w:next w:val="Standard"/>
    <w:qFormat/>
    <w:pPr>
      <w:keepNext/>
      <w:overflowPunct w:val="0"/>
      <w:autoSpaceDE w:val="0"/>
      <w:autoSpaceDN w:val="0"/>
      <w:adjustRightInd w:val="0"/>
      <w:textAlignment w:val="baseline"/>
      <w:outlineLvl w:val="2"/>
    </w:pPr>
    <w:rPr>
      <w:b/>
      <w:szCs w:val="20"/>
    </w:rPr>
  </w:style>
  <w:style w:type="paragraph" w:styleId="berschrift4">
    <w:name w:val="heading 4"/>
    <w:basedOn w:val="Standard"/>
    <w:next w:val="Standard"/>
    <w:qFormat/>
    <w:pPr>
      <w:keepNext/>
      <w:outlineLvl w:val="3"/>
    </w:pPr>
    <w:rPr>
      <w:vanish/>
      <w:sz w:val="22"/>
    </w:rPr>
  </w:style>
  <w:style w:type="paragraph" w:styleId="berschrift5">
    <w:name w:val="heading 5"/>
    <w:basedOn w:val="Standard"/>
    <w:next w:val="Standard"/>
    <w:qFormat/>
    <w:pPr>
      <w:keepNext/>
      <w:outlineLvl w:val="4"/>
    </w:pPr>
    <w:rPr>
      <w:b/>
      <w:bCs/>
      <w:u w:val="single"/>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pPr>
      <w:keepNext/>
      <w:outlineLvl w:val="6"/>
    </w:pPr>
    <w:rPr>
      <w:b/>
      <w:bCs/>
    </w:rPr>
  </w:style>
  <w:style w:type="paragraph" w:styleId="berschrift8">
    <w:name w:val="heading 8"/>
    <w:basedOn w:val="Standard"/>
    <w:next w:val="Standard"/>
    <w:qFormat/>
    <w:pPr>
      <w:keepNext/>
      <w:tabs>
        <w:tab w:val="num" w:pos="360"/>
      </w:tabs>
      <w:ind w:left="360" w:hanging="180"/>
      <w:outlineLvl w:val="7"/>
    </w:pPr>
    <w:rPr>
      <w:b/>
    </w:rPr>
  </w:style>
  <w:style w:type="paragraph" w:styleId="berschrift9">
    <w:name w:val="heading 9"/>
    <w:basedOn w:val="Standard"/>
    <w:next w:val="Standard"/>
    <w:qFormat/>
    <w:pPr>
      <w:keepNext/>
      <w:numPr>
        <w:numId w:val="44"/>
      </w:numP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TPnormal">
    <w:name w:val="ITP_normal"/>
    <w:rPr>
      <w:sz w:val="24"/>
      <w:lang w:eastAsia="en-US"/>
    </w:rPr>
  </w:style>
  <w:style w:type="paragraph" w:customStyle="1" w:styleId="ITPnormal1">
    <w:name w:val="ITP_normal_1"/>
    <w:basedOn w:val="ITPnormal"/>
    <w:pPr>
      <w:ind w:left="567"/>
    </w:pPr>
  </w:style>
  <w:style w:type="paragraph" w:customStyle="1" w:styleId="ITPheader">
    <w:name w:val="ITP_header"/>
    <w:basedOn w:val="ITPnormal"/>
    <w:rPr>
      <w:b/>
      <w:sz w:val="28"/>
    </w:rPr>
  </w:style>
  <w:style w:type="paragraph" w:customStyle="1" w:styleId="ITPheader1">
    <w:name w:val="ITP_header_1"/>
    <w:basedOn w:val="ITPnormal"/>
    <w:pPr>
      <w:ind w:left="567"/>
    </w:pPr>
    <w:rPr>
      <w:b/>
      <w:sz w:val="28"/>
    </w:rPr>
  </w:style>
  <w:style w:type="paragraph" w:customStyle="1" w:styleId="ITPnumberedlist">
    <w:name w:val="ITP_numbered_list"/>
    <w:basedOn w:val="ITPnormal"/>
    <w:pPr>
      <w:numPr>
        <w:numId w:val="45"/>
      </w:numPr>
    </w:pPr>
  </w:style>
  <w:style w:type="paragraph" w:customStyle="1" w:styleId="ITPnumberedlist1">
    <w:name w:val="ITP_numbered_list_1"/>
    <w:basedOn w:val="ITPnormal"/>
    <w:pPr>
      <w:numPr>
        <w:numId w:val="46"/>
      </w:numPr>
    </w:pPr>
  </w:style>
  <w:style w:type="paragraph" w:customStyle="1" w:styleId="ITPbulletlist">
    <w:name w:val="ITP_bullet_list"/>
    <w:basedOn w:val="ITPnormal"/>
    <w:pPr>
      <w:numPr>
        <w:numId w:val="47"/>
      </w:numPr>
    </w:pPr>
  </w:style>
  <w:style w:type="paragraph" w:customStyle="1" w:styleId="ITPbulletlist1">
    <w:name w:val="ITP_bullet_list_1"/>
    <w:basedOn w:val="ITPnormal"/>
    <w:pPr>
      <w:numPr>
        <w:ilvl w:val="1"/>
        <w:numId w:val="48"/>
      </w:numPr>
    </w:pPr>
  </w:style>
  <w:style w:type="paragraph" w:customStyle="1" w:styleId="ITPnormal2">
    <w:name w:val="ITP_normal_2"/>
    <w:basedOn w:val="ITPnormal"/>
    <w:pPr>
      <w:ind w:left="967"/>
    </w:pPr>
  </w:style>
  <w:style w:type="paragraph" w:customStyle="1" w:styleId="ITPnormal3">
    <w:name w:val="ITP_normal_3"/>
    <w:basedOn w:val="ITPnormal"/>
    <w:pPr>
      <w:ind w:left="1367"/>
    </w:pPr>
  </w:style>
  <w:style w:type="paragraph" w:customStyle="1" w:styleId="ITPheader2">
    <w:name w:val="ITP_header_2"/>
    <w:basedOn w:val="ITPnormal"/>
    <w:pPr>
      <w:ind w:left="967"/>
    </w:pPr>
    <w:rPr>
      <w:b/>
      <w:sz w:val="28"/>
    </w:rPr>
  </w:style>
  <w:style w:type="paragraph" w:customStyle="1" w:styleId="ITPheader3">
    <w:name w:val="ITP_header_3"/>
    <w:basedOn w:val="ITPnormal"/>
    <w:pPr>
      <w:ind w:left="1367"/>
    </w:pPr>
    <w:rPr>
      <w:b/>
      <w:sz w:val="28"/>
    </w:rPr>
  </w:style>
  <w:style w:type="paragraph" w:customStyle="1" w:styleId="ITPnumberedlist2">
    <w:name w:val="ITP_numbered_list_2"/>
    <w:basedOn w:val="ITPnormal"/>
    <w:pPr>
      <w:numPr>
        <w:numId w:val="49"/>
      </w:numPr>
    </w:pPr>
  </w:style>
  <w:style w:type="paragraph" w:customStyle="1" w:styleId="ITPnumberedlist3">
    <w:name w:val="ITP_numbered_list_3"/>
    <w:basedOn w:val="ITPnumberedlist2"/>
    <w:pPr>
      <w:numPr>
        <w:numId w:val="50"/>
      </w:numPr>
    </w:pPr>
  </w:style>
  <w:style w:type="paragraph" w:customStyle="1" w:styleId="ITPbulletlist2">
    <w:name w:val="ITP_bullet_list_2"/>
    <w:basedOn w:val="ITPnormal"/>
    <w:pPr>
      <w:numPr>
        <w:ilvl w:val="1"/>
        <w:numId w:val="51"/>
      </w:numPr>
    </w:pPr>
  </w:style>
  <w:style w:type="paragraph" w:customStyle="1" w:styleId="ITPbulletlist3">
    <w:name w:val="ITP_bullet_list_3"/>
    <w:basedOn w:val="ITPnormal"/>
    <w:pPr>
      <w:numPr>
        <w:numId w:val="51"/>
      </w:numPr>
    </w:p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pPr>
      <w:tabs>
        <w:tab w:val="left" w:pos="1080"/>
        <w:tab w:val="left" w:pos="2880"/>
        <w:tab w:val="left" w:pos="3840"/>
      </w:tabs>
      <w:overflowPunct w:val="0"/>
      <w:autoSpaceDE w:val="0"/>
      <w:autoSpaceDN w:val="0"/>
      <w:adjustRightInd w:val="0"/>
      <w:spacing w:line="360" w:lineRule="atLeast"/>
      <w:ind w:left="1080" w:hanging="900"/>
      <w:textAlignment w:val="baseline"/>
    </w:pPr>
    <w:rPr>
      <w:sz w:val="22"/>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Zeileneinzug">
    <w:name w:val="Body Text Indent"/>
    <w:basedOn w:val="Standard"/>
    <w:pPr>
      <w:tabs>
        <w:tab w:val="left" w:pos="1080"/>
        <w:tab w:val="left" w:pos="2880"/>
        <w:tab w:val="left" w:pos="3840"/>
      </w:tabs>
      <w:spacing w:line="360" w:lineRule="atLeast"/>
      <w:ind w:left="240"/>
    </w:pPr>
    <w:rPr>
      <w:sz w:val="22"/>
    </w:rPr>
  </w:style>
  <w:style w:type="paragraph" w:styleId="Textkrper-Einzug2">
    <w:name w:val="Body Text Indent 2"/>
    <w:basedOn w:val="Standard"/>
    <w:pPr>
      <w:tabs>
        <w:tab w:val="left" w:pos="1080"/>
        <w:tab w:val="left" w:pos="2880"/>
        <w:tab w:val="left" w:pos="3840"/>
      </w:tabs>
      <w:ind w:left="238"/>
    </w:pPr>
    <w:rPr>
      <w:sz w:val="20"/>
    </w:rPr>
  </w:style>
  <w:style w:type="paragraph" w:styleId="Textkrper">
    <w:name w:val="Body Text"/>
    <w:basedOn w:val="Standard"/>
    <w:rPr>
      <w:rFonts w:cs="Arial"/>
      <w:sz w:val="22"/>
    </w:rPr>
  </w:style>
  <w:style w:type="paragraph" w:styleId="Textkrper2">
    <w:name w:val="Body Text 2"/>
    <w:basedOn w:val="Standard"/>
    <w:rPr>
      <w:rFonts w:cs="Arial"/>
      <w:b/>
      <w:bCs/>
      <w:sz w:val="22"/>
      <w:lang w:val="en-GB"/>
    </w:rPr>
  </w:style>
  <w:style w:type="paragraph" w:customStyle="1" w:styleId="ADDITPStandard">
    <w:name w:val="ADDITP Standard"/>
    <w:link w:val="ADDITPStandardZchn"/>
    <w:pPr>
      <w:spacing w:line="360" w:lineRule="exact"/>
      <w:jc w:val="both"/>
    </w:pPr>
    <w:rPr>
      <w:rFonts w:ascii="Arial" w:hAnsi="Arial"/>
      <w:sz w:val="24"/>
      <w:szCs w:val="22"/>
    </w:rPr>
  </w:style>
  <w:style w:type="paragraph" w:customStyle="1" w:styleId="ADDITPAbsender">
    <w:name w:val="ADDITP Absender"/>
    <w:basedOn w:val="ADDITPStandard"/>
    <w:link w:val="ADDITPAbsenderZchn"/>
    <w:pPr>
      <w:spacing w:line="240" w:lineRule="auto"/>
      <w:jc w:val="left"/>
    </w:pPr>
    <w:rPr>
      <w:bCs/>
      <w:sz w:val="16"/>
    </w:rPr>
  </w:style>
  <w:style w:type="paragraph" w:customStyle="1" w:styleId="ADDITPBetreff">
    <w:name w:val="ADDITP Betreff"/>
    <w:basedOn w:val="ADDITPStandard"/>
    <w:pPr>
      <w:spacing w:line="240" w:lineRule="auto"/>
    </w:pPr>
    <w:rPr>
      <w:b/>
      <w:bCs/>
    </w:rPr>
  </w:style>
  <w:style w:type="paragraph" w:customStyle="1" w:styleId="ADDITPEmfnger">
    <w:name w:val="ADDITP Emfänger"/>
    <w:basedOn w:val="ADDITPStandard"/>
    <w:link w:val="ADDITPEmfngerZchn"/>
    <w:pPr>
      <w:spacing w:line="240" w:lineRule="auto"/>
      <w:jc w:val="left"/>
    </w:pPr>
    <w:rPr>
      <w:sz w:val="22"/>
    </w:rPr>
  </w:style>
  <w:style w:type="paragraph" w:customStyle="1" w:styleId="ADDITPFusszeile">
    <w:name w:val="ADDITP Fusszeile"/>
    <w:basedOn w:val="Standard"/>
    <w:pPr>
      <w:tabs>
        <w:tab w:val="left" w:pos="3960"/>
        <w:tab w:val="left" w:pos="4500"/>
        <w:tab w:val="left" w:pos="5220"/>
        <w:tab w:val="left" w:pos="5940"/>
      </w:tabs>
    </w:pPr>
    <w:rPr>
      <w:rFonts w:cs="Arial"/>
      <w:bCs/>
      <w:sz w:val="16"/>
      <w:szCs w:val="16"/>
    </w:rPr>
  </w:style>
  <w:style w:type="character" w:customStyle="1" w:styleId="ADDITPStandardZchn">
    <w:name w:val="ADDITP Standard Zchn"/>
    <w:link w:val="ADDITPStandard"/>
    <w:locked/>
    <w:rPr>
      <w:rFonts w:ascii="Arial" w:hAnsi="Arial"/>
      <w:sz w:val="24"/>
      <w:szCs w:val="22"/>
      <w:lang w:val="de-DE" w:eastAsia="de-DE" w:bidi="ar-SA"/>
    </w:r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Wingdings"/>
    </w:rPr>
  </w:style>
  <w:style w:type="character" w:customStyle="1" w:styleId="BesuchterHyperlink">
    <w:name w:val="BesuchterHyperlink"/>
    <w:rPr>
      <w:color w:val="800080"/>
      <w:u w:val="single"/>
    </w:rPr>
  </w:style>
  <w:style w:type="table" w:styleId="Tabellenraster">
    <w:name w:val="Table Grid"/>
    <w:basedOn w:val="NormaleTabelle"/>
    <w:pPr>
      <w:tabs>
        <w:tab w:val="left" w:pos="480"/>
        <w:tab w:val="left" w:pos="5880"/>
      </w:tabs>
      <w:overflowPunct w:val="0"/>
      <w:autoSpaceDE w:val="0"/>
      <w:autoSpaceDN w:val="0"/>
      <w:adjustRightInd w:val="0"/>
      <w:spacing w:line="24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ITPEmfngerZchn">
    <w:name w:val="ADDITP Emfänger Zchn"/>
    <w:link w:val="ADDITPEmfnger"/>
    <w:rPr>
      <w:rFonts w:ascii="Arial" w:hAnsi="Arial"/>
      <w:sz w:val="22"/>
      <w:szCs w:val="22"/>
      <w:lang w:val="de-DE" w:eastAsia="de-DE" w:bidi="ar-SA"/>
    </w:rPr>
  </w:style>
  <w:style w:type="paragraph" w:customStyle="1" w:styleId="ITPNormal0">
    <w:name w:val="ITP Normal"/>
    <w:link w:val="ITPNormalChar"/>
    <w:pPr>
      <w:keepNext/>
      <w:keepLines/>
      <w:tabs>
        <w:tab w:val="left" w:pos="284"/>
        <w:tab w:val="left" w:pos="567"/>
        <w:tab w:val="left" w:pos="851"/>
        <w:tab w:val="left" w:pos="1134"/>
        <w:tab w:val="left" w:pos="1418"/>
      </w:tabs>
      <w:suppressAutoHyphens/>
    </w:pPr>
    <w:rPr>
      <w:noProof/>
      <w:color w:val="0000FF"/>
      <w:sz w:val="22"/>
      <w:lang w:val="en-US" w:eastAsia="en-US"/>
    </w:rPr>
  </w:style>
  <w:style w:type="paragraph" w:customStyle="1" w:styleId="ITPComment">
    <w:name w:val="ITP Comment"/>
    <w:basedOn w:val="ITPNormal0"/>
    <w:link w:val="ITPCommentChar"/>
    <w:rPr>
      <w:color w:val="FF0000"/>
    </w:rPr>
  </w:style>
  <w:style w:type="paragraph" w:styleId="Verzeichnis1">
    <w:name w:val="toc 1"/>
    <w:basedOn w:val="Standard"/>
    <w:next w:val="Standard"/>
    <w:autoRedefine/>
    <w:semiHidden/>
    <w:pPr>
      <w:tabs>
        <w:tab w:val="right" w:leader="dot" w:pos="9061"/>
      </w:tabs>
    </w:pPr>
  </w:style>
  <w:style w:type="paragraph" w:customStyle="1" w:styleId="ITPBreak">
    <w:name w:val="ITP Break"/>
    <w:basedOn w:val="ITPNormal0"/>
    <w:next w:val="ITPNormal0"/>
    <w:pPr>
      <w:keepNext w:val="0"/>
      <w:keepLines w:val="0"/>
    </w:pPr>
    <w:rPr>
      <w:color w:val="000000"/>
      <w:sz w:val="16"/>
    </w:rPr>
  </w:style>
  <w:style w:type="paragraph" w:customStyle="1" w:styleId="KIXBarcode">
    <w:name w:val="KIX Barcode"/>
    <w:rPr>
      <w:rFonts w:ascii="KIX Barcode" w:hAnsi="KIX Barcode"/>
      <w:sz w:val="22"/>
      <w:lang w:val="nl-NL" w:eastAsia="en-US"/>
    </w:rPr>
  </w:style>
  <w:style w:type="paragraph" w:customStyle="1" w:styleId="ITPHeading">
    <w:name w:val="ITP Heading"/>
    <w:basedOn w:val="ITPNormal0"/>
    <w:next w:val="ITPNormal0"/>
    <w:link w:val="ITPHeadingChar"/>
    <w:pPr>
      <w:spacing w:before="80"/>
    </w:pPr>
    <w:rPr>
      <w:b/>
      <w:sz w:val="24"/>
    </w:rPr>
  </w:style>
  <w:style w:type="paragraph" w:customStyle="1" w:styleId="ITPEntry">
    <w:name w:val="ITP Entry"/>
    <w:basedOn w:val="ITPHeading"/>
    <w:next w:val="ITPNormal0"/>
  </w:style>
  <w:style w:type="paragraph" w:customStyle="1" w:styleId="ITPInclude">
    <w:name w:val="ITP Include"/>
    <w:basedOn w:val="ITPNormal0"/>
    <w:next w:val="ITPBreak"/>
    <w:pPr>
      <w:spacing w:before="80" w:after="80"/>
    </w:pPr>
    <w:rPr>
      <w:b/>
      <w:color w:val="FF00FF"/>
      <w:sz w:val="24"/>
    </w:rPr>
  </w:style>
  <w:style w:type="character" w:customStyle="1" w:styleId="ITPNormalChar">
    <w:name w:val="ITP Normal Char"/>
    <w:link w:val="ITPNormal0"/>
    <w:locked/>
    <w:rPr>
      <w:noProof/>
      <w:color w:val="0000FF"/>
      <w:sz w:val="22"/>
      <w:lang w:val="en-US" w:eastAsia="en-US" w:bidi="ar-SA"/>
    </w:rPr>
  </w:style>
  <w:style w:type="paragraph" w:customStyle="1" w:styleId="ITPCode">
    <w:name w:val="ITP Code"/>
    <w:basedOn w:val="Standard"/>
    <w:pPr>
      <w:keepNext/>
      <w:keepLines/>
      <w:tabs>
        <w:tab w:val="left" w:pos="454"/>
        <w:tab w:val="left" w:pos="907"/>
        <w:tab w:val="left" w:pos="1361"/>
        <w:tab w:val="left" w:pos="1814"/>
        <w:tab w:val="left" w:pos="2268"/>
        <w:tab w:val="left" w:pos="2722"/>
        <w:tab w:val="left" w:pos="3175"/>
        <w:tab w:val="left" w:pos="3629"/>
        <w:tab w:val="left" w:pos="4082"/>
        <w:tab w:val="left" w:pos="4536"/>
      </w:tabs>
      <w:ind w:left="907" w:hanging="907"/>
    </w:pPr>
    <w:rPr>
      <w:color w:val="0000FF"/>
      <w:lang w:val="nl" w:eastAsia="nl-NL"/>
    </w:rPr>
  </w:style>
  <w:style w:type="character" w:customStyle="1" w:styleId="ITPCommentChar">
    <w:name w:val="ITP Comment Char"/>
    <w:link w:val="ITPComment"/>
    <w:locked/>
    <w:rPr>
      <w:noProof/>
      <w:color w:val="FF0000"/>
      <w:sz w:val="22"/>
      <w:lang w:val="en-US" w:eastAsia="en-US" w:bidi="ar-SA"/>
    </w:rPr>
  </w:style>
  <w:style w:type="character" w:customStyle="1" w:styleId="ITPHeadingChar">
    <w:name w:val="ITP Heading Char"/>
    <w:link w:val="ITPHeading"/>
    <w:locked/>
    <w:rPr>
      <w:b/>
      <w:noProof/>
      <w:color w:val="0000FF"/>
      <w:sz w:val="24"/>
      <w:lang w:val="en-US" w:eastAsia="en-US" w:bidi="ar-SA"/>
    </w:rPr>
  </w:style>
  <w:style w:type="paragraph" w:styleId="NurText">
    <w:name w:val="Plain Text"/>
    <w:basedOn w:val="Standard"/>
    <w:rPr>
      <w:rFonts w:ascii="Courier New" w:hAnsi="Courier New"/>
    </w:rPr>
  </w:style>
  <w:style w:type="character" w:customStyle="1" w:styleId="berschrift1Zchn">
    <w:name w:val="Überschrift 1 Zchn"/>
    <w:link w:val="berschrift1"/>
    <w:rPr>
      <w:rFonts w:ascii="Arial" w:hAnsi="Arial"/>
      <w:b/>
      <w:bCs/>
      <w:kern w:val="32"/>
      <w:sz w:val="32"/>
      <w:szCs w:val="32"/>
      <w:lang w:val="en-GB" w:eastAsia="en-US"/>
    </w:rPr>
  </w:style>
  <w:style w:type="paragraph" w:customStyle="1" w:styleId="ITPtablecell">
    <w:name w:val="ITP_table_cell"/>
    <w:basedOn w:val="ITPnormal"/>
    <w:qFormat/>
  </w:style>
  <w:style w:type="table" w:customStyle="1" w:styleId="ITPtable">
    <w:name w:val="ITP_table"/>
    <w:basedOn w:val="NormaleTabelle"/>
    <w:uiPriority w:val="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TStandard">
    <w:name w:val="AET_Standard"/>
    <w:basedOn w:val="Standard"/>
    <w:link w:val="AETStandardZchn"/>
    <w:qFormat/>
    <w:rPr>
      <w:rFonts w:ascii="Garrison Sans" w:hAnsi="Garrison Sans"/>
      <w:bCs/>
      <w:sz w:val="22"/>
    </w:rPr>
  </w:style>
  <w:style w:type="paragraph" w:styleId="Listenabsatz">
    <w:name w:val="List Paragraph"/>
    <w:basedOn w:val="Standard"/>
    <w:uiPriority w:val="34"/>
    <w:qFormat/>
    <w:pPr>
      <w:ind w:left="720"/>
      <w:contextualSpacing/>
    </w:pPr>
  </w:style>
  <w:style w:type="character" w:customStyle="1" w:styleId="AETStandardZchn">
    <w:name w:val="AET_Standard Zchn"/>
    <w:link w:val="AETStandard"/>
    <w:rPr>
      <w:rFonts w:ascii="Garrison Sans" w:hAnsi="Garrison Sans"/>
      <w:bCs/>
      <w:sz w:val="22"/>
      <w:szCs w:val="24"/>
      <w:lang w:val="en-GB" w:eastAsia="en-US"/>
    </w:rPr>
  </w:style>
  <w:style w:type="paragraph" w:styleId="Sprechblasentext">
    <w:name w:val="Balloon Text"/>
    <w:basedOn w:val="Standard"/>
    <w:semiHidden/>
    <w:rPr>
      <w:rFonts w:ascii="Tahoma" w:hAnsi="Tahoma" w:cs="Wingdings"/>
      <w:sz w:val="16"/>
      <w:szCs w:val="16"/>
    </w:rPr>
  </w:style>
  <w:style w:type="paragraph" w:customStyle="1" w:styleId="BezZeile">
    <w:name w:val="BezZeile"/>
    <w:basedOn w:val="Standard"/>
    <w:pPr>
      <w:spacing w:after="360"/>
    </w:pPr>
    <w:rPr>
      <w:sz w:val="18"/>
      <w:szCs w:val="20"/>
    </w:rPr>
  </w:style>
  <w:style w:type="paragraph" w:customStyle="1" w:styleId="PosRahmen">
    <w:name w:val="PosRahmen"/>
    <w:basedOn w:val="Standard"/>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Pr>
      <w:sz w:val="14"/>
      <w:szCs w:val="14"/>
    </w:rPr>
  </w:style>
  <w:style w:type="paragraph" w:customStyle="1" w:styleId="Anschrift">
    <w:name w:val="Anschrift"/>
    <w:basedOn w:val="Standard"/>
    <w:pPr>
      <w:spacing w:line="240" w:lineRule="exact"/>
    </w:pPr>
  </w:style>
  <w:style w:type="paragraph" w:customStyle="1" w:styleId="Absender2">
    <w:name w:val="Absender2"/>
    <w:basedOn w:val="Standard"/>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Pr>
      <w:b/>
      <w:sz w:val="16"/>
      <w:szCs w:val="16"/>
    </w:rPr>
  </w:style>
  <w:style w:type="paragraph" w:customStyle="1" w:styleId="Bezugszeile2">
    <w:name w:val="Bezugszeile2"/>
    <w:basedOn w:val="Standard"/>
    <w:pPr>
      <w:spacing w:line="200" w:lineRule="exact"/>
    </w:pPr>
    <w:rPr>
      <w:sz w:val="16"/>
      <w:szCs w:val="16"/>
    </w:rPr>
  </w:style>
  <w:style w:type="paragraph" w:customStyle="1" w:styleId="Betreff">
    <w:name w:val="Betreff"/>
    <w:basedOn w:val="Standard"/>
    <w:next w:val="Abstand"/>
    <w:pPr>
      <w:spacing w:line="240" w:lineRule="exact"/>
    </w:pPr>
    <w:rPr>
      <w:b/>
    </w:rPr>
  </w:style>
  <w:style w:type="paragraph" w:customStyle="1" w:styleId="Anrede2">
    <w:name w:val="Anrede2"/>
    <w:basedOn w:val="Standard"/>
    <w:next w:val="T-Links"/>
    <w:pPr>
      <w:spacing w:after="240" w:line="360" w:lineRule="exact"/>
    </w:pPr>
  </w:style>
  <w:style w:type="paragraph" w:customStyle="1" w:styleId="T-Links">
    <w:name w:val="T-Links"/>
    <w:basedOn w:val="Standard"/>
    <w:pPr>
      <w:tabs>
        <w:tab w:val="left" w:pos="510"/>
        <w:tab w:val="left" w:pos="1021"/>
        <w:tab w:val="left" w:pos="1531"/>
      </w:tabs>
      <w:spacing w:after="240" w:line="360" w:lineRule="exact"/>
    </w:pPr>
  </w:style>
  <w:style w:type="paragraph" w:customStyle="1" w:styleId="T-Linksohne">
    <w:name w:val="T-Links ohne"/>
    <w:basedOn w:val="Standard"/>
    <w:pPr>
      <w:tabs>
        <w:tab w:val="left" w:pos="510"/>
        <w:tab w:val="left" w:pos="1021"/>
        <w:tab w:val="left" w:pos="1531"/>
      </w:tabs>
      <w:spacing w:line="360" w:lineRule="exact"/>
    </w:pPr>
  </w:style>
  <w:style w:type="paragraph" w:customStyle="1" w:styleId="T-Block">
    <w:name w:val="T-Block"/>
    <w:basedOn w:val="Standard"/>
    <w:pPr>
      <w:tabs>
        <w:tab w:val="left" w:pos="510"/>
        <w:tab w:val="left" w:pos="1021"/>
        <w:tab w:val="left" w:pos="1531"/>
      </w:tabs>
      <w:spacing w:after="240" w:line="360" w:lineRule="exact"/>
      <w:jc w:val="both"/>
    </w:pPr>
  </w:style>
  <w:style w:type="paragraph" w:customStyle="1" w:styleId="T-Blockohne">
    <w:name w:val="T-Block ohne"/>
    <w:basedOn w:val="Standard"/>
    <w:pPr>
      <w:tabs>
        <w:tab w:val="left" w:pos="510"/>
        <w:tab w:val="left" w:pos="1021"/>
        <w:tab w:val="left" w:pos="1531"/>
      </w:tabs>
      <w:spacing w:line="360" w:lineRule="exact"/>
      <w:jc w:val="both"/>
    </w:pPr>
  </w:style>
  <w:style w:type="paragraph" w:customStyle="1" w:styleId="Abstand">
    <w:name w:val="Abstand"/>
    <w:basedOn w:val="Standard"/>
    <w:pPr>
      <w:spacing w:after="480" w:line="240" w:lineRule="exact"/>
    </w:pPr>
  </w:style>
  <w:style w:type="paragraph" w:customStyle="1" w:styleId="MfG">
    <w:name w:val="MfG"/>
    <w:basedOn w:val="Standard"/>
    <w:next w:val="Vfg"/>
    <w:pPr>
      <w:spacing w:after="240" w:line="360" w:lineRule="exact"/>
    </w:pPr>
  </w:style>
  <w:style w:type="paragraph" w:customStyle="1" w:styleId="Vfg">
    <w:name w:val="Vfg"/>
    <w:basedOn w:val="Standard"/>
    <w:pPr>
      <w:tabs>
        <w:tab w:val="left" w:pos="510"/>
        <w:tab w:val="left" w:pos="1021"/>
        <w:tab w:val="left" w:pos="1531"/>
      </w:tabs>
      <w:spacing w:line="300" w:lineRule="exact"/>
      <w:ind w:left="-510"/>
    </w:pPr>
    <w:rPr>
      <w:vanish/>
    </w:rPr>
  </w:style>
  <w:style w:type="paragraph" w:customStyle="1" w:styleId="Intern">
    <w:name w:val="Intern"/>
    <w:basedOn w:val="Standard"/>
    <w:rPr>
      <w:vanish/>
      <w:sz w:val="14"/>
      <w:szCs w:val="20"/>
    </w:rPr>
  </w:style>
  <w:style w:type="paragraph" w:customStyle="1" w:styleId="Entwurf">
    <w:name w:val="Entwurf"/>
    <w:basedOn w:val="Standard"/>
    <w:pPr>
      <w:spacing w:before="600" w:after="1080"/>
      <w:jc w:val="center"/>
    </w:pPr>
    <w:rPr>
      <w:b/>
    </w:rPr>
  </w:style>
  <w:style w:type="paragraph" w:customStyle="1" w:styleId="Formatvorlage8ptZeilenabstandGenau10pt">
    <w:name w:val="Formatvorlage 8 pt Zeilenabstand:  Genau 10 pt"/>
    <w:basedOn w:val="Standard"/>
    <w:pPr>
      <w:spacing w:line="200" w:lineRule="exact"/>
    </w:pPr>
    <w:rPr>
      <w:sz w:val="16"/>
      <w:szCs w:val="20"/>
    </w:rPr>
  </w:style>
  <w:style w:type="character" w:customStyle="1" w:styleId="ADDITPAbsenderZchn">
    <w:name w:val="ADDITP Absender Zchn"/>
    <w:link w:val="ADDITPAbsender"/>
    <w:rPr>
      <w:rFonts w:ascii="Arial" w:hAnsi="Arial"/>
      <w:bCs/>
      <w:sz w:val="16"/>
      <w:szCs w:val="22"/>
      <w:lang w:val="de-DE" w:eastAsia="de-DE" w:bidi="ar-SA"/>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Endnotenzeichen">
    <w:name w:val="endnote reference"/>
    <w:semiHidden/>
    <w:rPr>
      <w:rFonts w:ascii="Arial" w:hAnsi="Arial"/>
      <w:vertAlign w:val="superscript"/>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urier New" w:hAnsi="Courier New"/>
    </w:rPr>
  </w:style>
  <w:style w:type="character" w:styleId="Zeilennummer">
    <w:name w:val="line number"/>
    <w:rPr>
      <w:rFonts w:ascii="Arial" w:hAnsi="Arial"/>
    </w:rPr>
  </w:style>
  <w:style w:type="paragraph" w:customStyle="1" w:styleId="Kopftext8">
    <w:name w:val="Kopftext8"/>
    <w:basedOn w:val="Standard"/>
    <w:pPr>
      <w:spacing w:before="240"/>
      <w:ind w:right="215"/>
    </w:pPr>
    <w:rPr>
      <w:rFonts w:ascii="Garamond" w:hAnsi="Garamond"/>
      <w:color w:val="FF0000"/>
      <w:sz w:val="16"/>
    </w:rPr>
  </w:style>
  <w:style w:type="paragraph" w:customStyle="1" w:styleId="KopftextAZ8">
    <w:name w:val="KopftextAZ8"/>
    <w:basedOn w:val="Kopftext8"/>
    <w:pPr>
      <w:ind w:right="0"/>
    </w:pPr>
    <w:rPr>
      <w:color w:val="auto"/>
    </w:rPr>
  </w:style>
  <w:style w:type="paragraph" w:customStyle="1" w:styleId="Kopftext16">
    <w:name w:val="Kopftext16"/>
    <w:basedOn w:val="Standard"/>
    <w:pPr>
      <w:ind w:right="499"/>
    </w:pPr>
    <w:rPr>
      <w:rFonts w:ascii="Garamond" w:hAnsi="Garamond"/>
      <w:b/>
      <w:color w:val="FF0000"/>
      <w:sz w:val="32"/>
    </w:rPr>
  </w:style>
  <w:style w:type="paragraph" w:customStyle="1" w:styleId="Kopftext11">
    <w:name w:val="Kopftext11"/>
    <w:basedOn w:val="Kopftext8"/>
    <w:pPr>
      <w:spacing w:before="0"/>
    </w:pPr>
    <w:rPr>
      <w:sz w:val="22"/>
    </w:rPr>
  </w:style>
  <w:style w:type="paragraph" w:customStyle="1" w:styleId="DokuName">
    <w:name w:val="DokuName"/>
    <w:basedOn w:val="Standard"/>
    <w:rPr>
      <w:noProof/>
      <w:sz w:val="16"/>
    </w:rPr>
  </w:style>
  <w:style w:type="paragraph" w:customStyle="1" w:styleId="Vermerk">
    <w:name w:val="Vermerk"/>
    <w:basedOn w:val="Kopftext16"/>
    <w:pPr>
      <w:ind w:right="0"/>
      <w:jc w:val="center"/>
    </w:pPr>
    <w:rPr>
      <w:rFonts w:ascii="Arial" w:hAnsi="Arial"/>
      <w:color w:val="auto"/>
    </w:rPr>
  </w:style>
  <w:style w:type="paragraph" w:customStyle="1" w:styleId="Stellenzeichen">
    <w:name w:val="Stellenzeichen"/>
    <w:basedOn w:val="Standard"/>
  </w:style>
  <w:style w:type="paragraph" w:customStyle="1" w:styleId="Verfgungsteil">
    <w:name w:val="Verfügungsteil"/>
    <w:basedOn w:val="Standard"/>
    <w:pPr>
      <w:ind w:left="284" w:hanging="284"/>
    </w:pPr>
    <w:rPr>
      <w:color w:val="008000"/>
    </w:rPr>
  </w:style>
  <w:style w:type="paragraph" w:customStyle="1" w:styleId="AZZeile">
    <w:name w:val="AZZeile"/>
    <w:basedOn w:val="Standard"/>
  </w:style>
  <w:style w:type="paragraph" w:customStyle="1" w:styleId="hier">
    <w:name w:val="hier"/>
    <w:basedOn w:val="Standard"/>
    <w:pPr>
      <w:tabs>
        <w:tab w:val="left" w:pos="851"/>
        <w:tab w:val="left" w:pos="1418"/>
      </w:tabs>
      <w:ind w:left="851" w:hanging="851"/>
    </w:pPr>
    <w:rPr>
      <w:b/>
    </w:rPr>
  </w:style>
  <w:style w:type="paragraph" w:customStyle="1" w:styleId="Bezug">
    <w:name w:val="Bezug"/>
    <w:basedOn w:val="Standard"/>
    <w:pPr>
      <w:tabs>
        <w:tab w:val="left" w:pos="851"/>
      </w:tabs>
      <w:ind w:left="851" w:hanging="851"/>
    </w:pPr>
  </w:style>
  <w:style w:type="paragraph" w:customStyle="1" w:styleId="Anlage">
    <w:name w:val="Anlage"/>
    <w:basedOn w:val="Standard"/>
    <w:pPr>
      <w:tabs>
        <w:tab w:val="left" w:pos="851"/>
      </w:tabs>
      <w:ind w:left="851" w:hanging="851"/>
    </w:pPr>
  </w:style>
  <w:style w:type="paragraph" w:customStyle="1" w:styleId="Tabelle">
    <w:name w:val="Tabelle"/>
    <w:basedOn w:val="Standard"/>
    <w:pPr>
      <w:spacing w:before="40" w:after="40"/>
    </w:pPr>
    <w:rPr>
      <w:lang w:eastAsia="de-DE"/>
    </w:rPr>
  </w:style>
  <w:style w:type="character" w:customStyle="1" w:styleId="KopfzeileZchn">
    <w:name w:val="Kopfzeile Zchn"/>
    <w:link w:val="Kopfzeile"/>
    <w:rPr>
      <w:rFonts w:ascii="Arial" w:hAnsi="Arial"/>
      <w:sz w:val="24"/>
      <w:szCs w:val="24"/>
      <w:lang w:val="en-GB" w:eastAsia="en-US"/>
    </w:rPr>
  </w:style>
  <w:style w:type="character" w:customStyle="1" w:styleId="FuzeileZchn">
    <w:name w:val="Fußzeile Zchn"/>
    <w:link w:val="Fuzeile"/>
    <w:rPr>
      <w:rFonts w:ascii="Arial" w:hAnsi="Arial"/>
      <w:sz w:val="24"/>
      <w:szCs w:val="24"/>
      <w:lang w:val="en-GB" w:eastAsia="en-US"/>
    </w:rPr>
  </w:style>
  <w:style w:type="paragraph" w:styleId="Titel">
    <w:name w:val="Title"/>
    <w:basedOn w:val="Standard"/>
    <w:qFormat/>
    <w:pPr>
      <w:jc w:val="center"/>
    </w:pPr>
    <w:rPr>
      <w:b/>
      <w:bCs/>
      <w:sz w:val="16"/>
      <w:u w:val="single"/>
    </w:rPr>
  </w:style>
  <w:style w:type="paragraph" w:styleId="Textkrper-Einzug3">
    <w:name w:val="Body Text Indent 3"/>
    <w:basedOn w:val="Standard"/>
    <w:pPr>
      <w:ind w:left="180"/>
      <w:jc w:val="both"/>
    </w:pPr>
  </w:style>
  <w:style w:type="paragraph" w:styleId="Textkrper3">
    <w:name w:val="Body Text 3"/>
    <w:basedOn w:val="Standard"/>
    <w:pPr>
      <w:autoSpaceDE w:val="0"/>
      <w:autoSpaceDN w:val="0"/>
      <w:adjustRightInd w:val="0"/>
    </w:pPr>
    <w:rPr>
      <w:rFonts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Ernennung - Beamtenverhältnis auf Widerruf</vt:lpstr>
    </vt:vector>
  </TitlesOfParts>
  <Company>ADD Trier</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Ernennung - Beamtenverhältnis auf Widerruf</dc:title>
  <dc:subject/>
  <dc:creator>sowinski</dc:creator>
  <cp:keywords/>
  <cp:lastModifiedBy>Etzkorn, Jutta</cp:lastModifiedBy>
  <cp:revision>3</cp:revision>
  <cp:lastPrinted>2016-07-13T13:14:00Z</cp:lastPrinted>
  <dcterms:created xsi:type="dcterms:W3CDTF">2020-09-07T11:07:00Z</dcterms:created>
  <dcterms:modified xsi:type="dcterms:W3CDTF">2022-05-06T09:58:00Z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ule">
    <vt:lpwstr>StudSem GY Landau</vt:lpwstr>
  </property>
  <property fmtid="{D5CDD505-2E9C-101B-9397-08002B2CF9AE}" pid="3" name="Nachname">
    <vt:lpwstr>Noll</vt:lpwstr>
  </property>
  <property fmtid="{D5CDD505-2E9C-101B-9397-08002B2CF9AE}" pid="4" name="Vorname">
    <vt:lpwstr>Christel</vt:lpwstr>
  </property>
  <property fmtid="{D5CDD505-2E9C-101B-9397-08002B2CF9AE}" pid="5" name="Schulaufsicht">
    <vt:lpwstr>Bernhard Dr. Gilles</vt:lpwstr>
  </property>
  <property fmtid="{D5CDD505-2E9C-101B-9397-08002B2CF9AE}" pid="6" name="MailSchulrat">
    <vt:lpwstr>Bernhard.Gilles@addnw.rlp.de</vt:lpwstr>
  </property>
  <property fmtid="{D5CDD505-2E9C-101B-9397-08002B2CF9AE}" pid="7" name="Schulart">
    <vt:lpwstr>5</vt:lpwstr>
  </property>
  <property fmtid="{D5CDD505-2E9C-101B-9397-08002B2CF9AE}" pid="8" name="Region">
    <vt:lpwstr>3</vt:lpwstr>
  </property>
  <property fmtid="{D5CDD505-2E9C-101B-9397-08002B2CF9AE}" pid="9" name="Kreis">
    <vt:lpwstr>Kreisfreie Stadt Landau in der Pfalz</vt:lpwstr>
  </property>
  <property fmtid="{D5CDD505-2E9C-101B-9397-08002B2CF9AE}" pid="10" name="DSSL">
    <vt:lpwstr>8868</vt:lpwstr>
  </property>
  <property fmtid="{D5CDD505-2E9C-101B-9397-08002B2CF9AE}" pid="11" name="DSSLAD">
    <vt:lpwstr>0</vt:lpwstr>
  </property>
</Properties>
</file>